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footer1.xml" ContentType="application/vnd.openxmlformats-officedocument.wordprocessingml.footer+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footer"
    Target="footer1.xml"/>
  <Relationship Id="r7"
    Type="http://schemas.openxmlformats.org/officeDocument/2006/relationships/hyperlink"
    TargetMode="External"
    Target="https://www.westlaw.com/Browse/Home/StatutesCourtRules/GeorgiaStatutesCourtRules?transitionType=DocumentItem&amp;contextData=(sc.History*oc.Document)&amp;rs=clbt1.0&amp;vr=3.0"/>
  <Relationship Id="r8"
    Type="http://schemas.openxmlformats.org/officeDocument/2006/relationships/hyperlink"
    TargetMode="External"
    Target="https://www.westlaw.com/Browse/Home/StatutesCourtRules/GeorgiaStatutesCourtRules?guid=NDE72DAF0BE9311DAAC5F876AC7189607&amp;transitionType=DocumentItem&amp;contextData=(sc.History*oc.Document)&amp;rs=clbt1.0&amp;vr=3.0"/>
  <Relationship Id="r9"
    Type="http://schemas.openxmlformats.org/officeDocument/2006/relationships/hyperlink"
    TargetMode="External"
    Target="https://www.westlaw.com/Link/Document/FullText?findType=l&amp;cite=lk(GASTAT48R)&amp;originatingDoc=NB3C06C40597811E898B3864FC92A9334&amp;refType=CM&amp;sourceCite=Ga.+Code+Ann.%2c+%c2%a7+48-8-269.45&amp;originationContext=document&amp;vr=3.0&amp;rs=cblt1.0&amp;transitionType=DocumentItem&amp;pubNum=1000468&amp;contextData=(sc.History*oc.Document)"/>
  <Relationship Id="r10"
    Type="http://schemas.openxmlformats.org/officeDocument/2006/relationships/hyperlink"
    TargetMode="External"
    Target="https://www.westlaw.com/Browse/Home/StatutesCourtRules/GeorgiaStatutesCourtRules?guid=N975E2E20BE9411DAAC5F876AC7189607&amp;transitionType=DocumentItem&amp;contextData=(sc.History*oc.Document)&amp;rs=clbt1.0&amp;vr=3.0"/>
  <Relationship Id="r11"
    Type="http://schemas.openxmlformats.org/officeDocument/2006/relationships/hyperlink"
    TargetMode="External"
    Target="https://www.westlaw.com/Link/Document/FullText?findType=l&amp;cite=lk(GASTAT48C8R)&amp;originatingDoc=NB3C06C40597811E898B3864FC92A9334&amp;refType=CM&amp;sourceCite=Ga.+Code+Ann.%2c+%c2%a7+48-8-269.45&amp;originationContext=document&amp;vr=3.0&amp;rs=cblt1.0&amp;transitionType=DocumentItem&amp;pubNum=1000468&amp;contextData=(sc.History*oc.Document)"/>
  <Relationship Id="r12"
    Type="http://schemas.openxmlformats.org/officeDocument/2006/relationships/hyperlink"
    TargetMode="External"
    Target="https://www.westlaw.com/Browse/Home/StatutesCourtRules/GeorgiaStatutesCourtRules?guid=NDA3D1C00596F11E898E0F64914B17A1A&amp;transitionType=DocumentItem&amp;contextData=(sc.History*oc.Document)&amp;rs=clbt1.0&amp;vr=3.0"/>
  <Relationship Id="r13"
    Type="http://schemas.openxmlformats.org/officeDocument/2006/relationships/hyperlink"
    TargetMode="External"
    Target="https://www.westlaw.com/Browse/Home/StatutesCourtRules/GeorgiaStatutesCourtRules?guid=NE4C17710597511E898E0F64914B17A1A&amp;transitionType=DocumentItem&amp;contextData=(sc.History*oc.Document)&amp;rs=clbt1.0&amp;vr=3.0"/>
  <Relationship Id="r14"
    Type="http://schemas.openxmlformats.org/officeDocument/2006/relationships/hyperlink"
    TargetMode="External"
    Target="https://www.westlaw.com/Link/Document/FullText?findType=L&amp;pubNum=1000468&amp;cite=GAST48-8-269.41&amp;originatingDoc=NB3C06C40597811E898B3864FC92A9334&amp;refType=LQ&amp;originationContext=document&amp;vr=3.0&amp;rs=cblt1.0&amp;transitionType=DocumentItem&amp;contextData=(sc.History*oc.Document)"/>
  <Relationship Id="r15"
    Type="http://schemas.openxmlformats.org/officeDocument/2006/relationships/hyperlink"
    TargetMode="External"
    Target="https://www.westlaw.com/Link/Document/FullText?findType=l&amp;pubNum=1077005&amp;cite=UUID(I09EC64D054-0F11E8B77DC-D50C2EC0DAF)&amp;originatingDoc=NB3C06C40597811E898B3864FC92A9334&amp;refType=SL&amp;originationContext=document&amp;vr=3.0&amp;rs=cblt1.0&amp;transitionType=DocumentItem&amp;contextData=(sc.History*oc.Document)"/>
</Relationships>

</file>

<file path=_rels/footer1.xml.rels><?xml version="1.0" encoding="UTF-8"?>
<Relationships xmlns="http://schemas.openxmlformats.org/package/2006/relationships">
  <Relationship Id="r1"
    Type="http://schemas.openxmlformats.org/officeDocument/2006/relationships/image"
    Target="images/1.png"/>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co_document_1"/>
    <w:p>
      <w:pPr>
        <w:pBdr>
          <w:top w:val="none" w:space="4"/>
        </w:pBdr>
        <w:spacing w:before="0" w:after="0" w:line="275" w:lineRule="atLeast"/>
        <w:jc w:val="both"/>
      </w:pPr>
      <w:bookmarkStart w:id="1" w:name="NB3C06C40597811E898B3864FC92A9334_Targe"/>
      <w:bookmarkEnd w:id="1"/>
    </w:p>
    <w:bookmarkEnd w:id="0"/>
    <w:p>
      <w:pPr>
        <w:shd w:val="clear" w:fill="f7f7f7"/>
        <w:spacing w:before="200" w:after="0" w:line="275" w:lineRule="atLeast"/>
        <w:ind w:left="135" w:right="135" w:firstLine="0"/>
        <w:jc w:val="both"/>
      </w:pPr>
      <w:hyperlink r:id="r7">
        <w:r>
          <w:rPr>
            <w:rFonts w:ascii="Georgia" w:hAnsi="Georgia"/>
            <w:color w:val="006fc4"/>
            <w:sz w:val="20"/>
            <w:shd w:val="clear" w:fill="f7f7f7"/>
          </w:rPr>
          <w:t xml:space="preserve">West's Code of Georgia Annotated </w:t>
        </w:r>
      </w:hyperlink>
    </w:p>
    <w:p>
      <w:pPr>
        <w:shd w:val="clear" w:fill="f7f7f7"/>
        <w:spacing w:before="0" w:after="0" w:line="275" w:lineRule="atLeast"/>
        <w:ind w:left="335" w:right="135" w:firstLine="0"/>
      </w:pPr>
      <w:hyperlink r:id="r8">
        <w:r>
          <w:rPr>
            <w:rFonts w:ascii="Georgia" w:hAnsi="Georgia"/>
            <w:color w:val="006fc4"/>
            <w:sz w:val="20"/>
            <w:shd w:val="clear" w:fill="f7f7f7"/>
          </w:rPr>
          <w:t xml:space="preserve">Title 48. Revenue and Taxation </w:t>
        </w:r>
      </w:hyperlink>
      <w:hyperlink r:id="r9">
        <w:r>
          <w:rPr>
            <w:rFonts w:ascii="Georgia" w:hAnsi="Georgia"/>
            <w:color w:val="006fc4"/>
            <w:sz w:val="20"/>
            <w:shd w:val="clear" w:fill="f7f7f7"/>
          </w:rPr>
          <w:t>(Refs &amp; Annos)</w:t>
        </w:r>
      </w:hyperlink>
    </w:p>
    <w:p>
      <w:pPr>
        <w:shd w:val="clear" w:fill="f7f7f7"/>
        <w:spacing w:before="0" w:after="0" w:line="275" w:lineRule="atLeast"/>
        <w:ind w:left="535" w:right="135" w:firstLine="0"/>
      </w:pPr>
      <w:hyperlink r:id="r10">
        <w:r>
          <w:rPr>
            <w:rFonts w:ascii="Georgia" w:hAnsi="Georgia"/>
            <w:color w:val="006fc4"/>
            <w:sz w:val="20"/>
            <w:shd w:val="clear" w:fill="f7f7f7"/>
          </w:rPr>
          <w:t xml:space="preserve"> Chapter 8. Sales and Use Taxes </w:t>
        </w:r>
      </w:hyperlink>
      <w:hyperlink r:id="r11">
        <w:r>
          <w:rPr>
            <w:rFonts w:ascii="Georgia" w:hAnsi="Georgia"/>
            <w:color w:val="006fc4"/>
            <w:sz w:val="20"/>
            <w:shd w:val="clear" w:fill="f7f7f7"/>
          </w:rPr>
          <w:t>(Refs &amp; Annos)</w:t>
        </w:r>
      </w:hyperlink>
    </w:p>
    <w:p>
      <w:pPr>
        <w:shd w:val="clear" w:fill="f7f7f7"/>
        <w:spacing w:before="0" w:after="0" w:line="275" w:lineRule="atLeast"/>
        <w:ind w:left="735" w:right="135" w:firstLine="0"/>
      </w:pPr>
      <w:hyperlink r:id="r12">
        <w:r>
          <w:rPr>
            <w:rFonts w:ascii="Georgia" w:hAnsi="Georgia"/>
            <w:color w:val="006fc4"/>
            <w:sz w:val="20"/>
            <w:shd w:val="clear" w:fill="f7f7f7"/>
          </w:rPr>
          <w:t xml:space="preserve"> Article 5b. Special Districts for Transit Purposes (Transit Splost)</w:t>
        </w:r>
      </w:hyperlink>
    </w:p>
    <w:bookmarkStart w:id="2" w:name="co_prelimGoldenLeaf_1"/>
    <w:p>
      <w:pPr>
        <w:shd w:val="clear" w:fill="f7f7f7"/>
        <w:spacing w:before="0" w:after="0" w:line="275" w:lineRule="atLeast"/>
        <w:ind w:left="935" w:right="135" w:firstLine="0"/>
      </w:pPr>
      <w:hyperlink r:id="r13">
        <w:r>
          <w:rPr>
            <w:rFonts w:ascii="Georgia" w:hAnsi="Georgia"/>
            <w:color w:val="006fc4"/>
            <w:sz w:val="20"/>
            <w:shd w:val="clear" w:fill="f7f7f7"/>
          </w:rPr>
          <w:t xml:space="preserve"> Part 3. Special Districts Within Nonattainment Areas</w:t>
        </w:r>
      </w:hyperlink>
    </w:p>
    <w:bookmarkEnd w:id="2"/>
    <w:p>
      <w:pPr>
        <w:spacing w:before="200" w:after="0" w:line="275" w:lineRule="atLeast"/>
        <w:jc w:val="center"/>
      </w:pPr>
      <w:r>
        <w:rPr>
          <w:rFonts w:ascii="Georgia" w:hAnsi="Georgia"/>
          <w:color w:val="1f1f1f"/>
          <w:sz w:val="20"/>
        </w:rPr>
        <w:t>Ga. Code Ann., § 48-8-269.45</w:t>
      </w:r>
    </w:p>
    <w:bookmarkStart w:id="3" w:name="co_anchor_I1F74C47157A011E8B36FE20C651C"/>
    <w:p>
      <w:pPr>
        <w:spacing w:before="200" w:after="0" w:line="312" w:lineRule="auto"/>
        <w:ind w:left="100" w:right="100" w:firstLine="0"/>
        <w:jc w:val="center"/>
      </w:pPr>
      <w:r>
        <w:rPr>
          <w:rFonts w:ascii="Georgia" w:hAnsi="Georgia"/>
          <w:color w:val="212121"/>
          <w:sz w:val="20"/>
        </w:rPr>
        <w:t>§ 48-8-269.45. Notice; meetings</w:t>
      </w:r>
    </w:p>
    <w:bookmarkEnd w:id="3"/>
    <w:bookmarkStart w:id="4" w:name="coid_effectiveDateBlock_1"/>
    <w:p>
      <w:pPr>
        <w:spacing w:before="200" w:after="0" w:line="275" w:lineRule="atLeast"/>
        <w:jc w:val="center"/>
      </w:pPr>
      <w:r>
        <w:rPr>
          <w:rFonts w:ascii="Georgia" w:hAnsi="Georgia"/>
          <w:color w:val="1f1f1f"/>
          <w:sz w:val="20"/>
        </w:rPr>
        <w:t>Effective: January 1, 2019</w:t>
      </w:r>
    </w:p>
    <w:bookmarkEnd w:id="4"/>
    <w:p>
      <w:pPr>
        <w:spacing w:before="0" w:after="0" w:line="275" w:lineRule="atLeast"/>
        <w:jc w:val="center"/>
      </w:pPr>
      <w:hyperlink w:anchor="co_anchor_I92E082E0931811EF8E75AC5F3089">
        <w:r>
          <w:rPr>
            <w:rFonts w:ascii="Georgia" w:hAnsi="Georgia"/>
            <w:color w:val="006fc4"/>
            <w:sz w:val="20"/>
            <w:vertAlign w:val="superscript"/>
          </w:rPr>
          <w:t>Currentness</w:t>
        </w:r>
      </w:hyperlink>
    </w:p>
    <w:bookmarkStart w:id="5" w:name="co_anchor_IB3C10880597811E898B3864FC92A"/>
    <w:bookmarkStart w:id="6" w:name="co_anchor_I18F55DF0579411E8915FB8AC83A3"/>
    <w:p>
      <w:pPr>
        <w:spacing w:before="600" w:after="0" w:line="275" w:lineRule="atLeast"/>
        <w:jc w:val="both"/>
      </w:pPr>
      <w:bookmarkStart w:id="7" w:name="co_pp_8b3b0000958a4_1"/>
      <w:bookmarkEnd w:id="7"/>
      <w:bookmarkStart w:id="8" w:name="co_pp_7b9b000044381_1"/>
      <w:bookmarkEnd w:id="8"/>
      <w:r>
        <w:rPr>
          <w:rFonts w:ascii="Times New Roman" w:hAnsi="Times New Roman"/>
          <w:color w:val="1f1f1f"/>
          <w:sz w:val="20"/>
        </w:rPr>
        <w:t>(a)</w:t>
      </w:r>
      <w:r>
        <w:rPr>
          <w:rFonts w:ascii="Times New Roman" w:hAnsi="Times New Roman"/>
          <w:color w:val="1f1f1f"/>
          <w:sz w:val="20"/>
        </w:rPr>
        <w:t>(1)</w:t>
      </w:r>
      <w:r>
        <w:rPr>
          <w:rFonts w:ascii="Times New Roman" w:hAnsi="Times New Roman"/>
          <w:color w:val="1f1f1f"/>
          <w:sz w:val="20"/>
        </w:rPr>
        <w:t xml:space="preserve"> Any county qualified to levy a tax pursuant to paragraph (2) of subsection (b) of </w:t>
      </w:r>
      <w:hyperlink r:id="r14">
        <w:r>
          <w:rPr>
            <w:rFonts w:ascii="Times New Roman" w:hAnsi="Times New Roman"/>
            <w:color w:val="006fc4"/>
            <w:sz w:val="20"/>
          </w:rPr>
          <w:t>Code Section 48-8-269.41</w:t>
        </w:r>
      </w:hyperlink>
      <w:r>
        <w:rPr>
          <w:rFonts w:ascii="Times New Roman" w:hAnsi="Times New Roman"/>
          <w:color w:val="1f1f1f"/>
          <w:sz w:val="20"/>
        </w:rPr>
        <w:t xml:space="preserve"> shall deliver or mail a written notice to the mayor or chief elected official in each qualified municipality located within the special district prior to the issuance of the call for the referendum. Such notice shall contain the date, time, place, and purpose of a meeting at which the governing authorities of the county and of each qualified municipality are to meet to discuss possible transit projects from the regional transit plan for inclusion in the referendum and the rate of tax. The notice shall be delivered or mailed at least ten days prior to the date of the meeting. The meeting shall be held at least 60 days prior to any issuance of the call for the referendum.</w:t>
      </w:r>
    </w:p>
    <w:bookmarkEnd w:id="6"/>
    <w:bookmarkEnd w:id="5"/>
    <w:p>
      <w:pPr>
        <w:spacing w:before="0" w:after="0" w:line="275" w:lineRule="atLeast"/>
        <w:jc w:val="both"/>
      </w:pPr>
      <w:r>
        <w:rPr>
          <w:rFonts w:ascii="Times New Roman" w:hAnsi="Times New Roman"/>
          <w:color w:val="1f1f1f"/>
          <w:sz w:val="20"/>
        </w:rPr>
        <w:t> </w:t>
      </w:r>
    </w:p>
    <w:bookmarkStart w:id="9" w:name="co_anchor_I18F55DF1579411E8915FB8AC83A3"/>
    <w:p>
      <w:pPr>
        <w:pBdr>
          <w:left w:val="none" w:space="10"/>
        </w:pBdr>
        <w:spacing w:before="200" w:after="0" w:line="275" w:lineRule="atLeast"/>
        <w:ind w:left="200" w:right="0" w:firstLine="0"/>
        <w:jc w:val="both"/>
      </w:pPr>
      <w:bookmarkStart w:id="10" w:name="co_pp_d86d0000be040_1"/>
      <w:bookmarkEnd w:id="10"/>
      <w:r>
        <w:rPr>
          <w:rFonts w:ascii="Times New Roman" w:hAnsi="Times New Roman"/>
          <w:color w:val="1f1f1f"/>
          <w:sz w:val="20"/>
        </w:rPr>
        <w:t>(2)</w:t>
      </w:r>
      <w:r>
        <w:rPr>
          <w:rFonts w:ascii="Times New Roman" w:hAnsi="Times New Roman"/>
          <w:color w:val="1f1f1f"/>
          <w:sz w:val="20"/>
        </w:rPr>
        <w:t xml:space="preserve"> At the meeting the county and all qualified municipalities may select transit projects for the county from the regional transit plan to be funded by the proceeds of the tax authorized by this article.</w:t>
      </w:r>
    </w:p>
    <w:bookmarkEnd w:id="9"/>
    <w:p>
      <w:pPr>
        <w:spacing w:before="0" w:after="0" w:line="275" w:lineRule="atLeast"/>
        <w:jc w:val="both"/>
      </w:pPr>
      <w:r>
        <w:rPr>
          <w:rFonts w:ascii="Times New Roman" w:hAnsi="Times New Roman"/>
          <w:color w:val="1f1f1f"/>
          <w:sz w:val="20"/>
        </w:rPr>
        <w:t> </w:t>
      </w:r>
    </w:p>
    <w:bookmarkStart w:id="11" w:name="co_anchor_I18F55DF2579411E8915FB8AC83A3"/>
    <w:p>
      <w:pPr>
        <w:spacing w:before="200" w:after="0" w:line="275" w:lineRule="atLeast"/>
        <w:jc w:val="both"/>
      </w:pPr>
      <w:bookmarkStart w:id="12" w:name="co_pp_a83b000018c76_1"/>
      <w:bookmarkEnd w:id="12"/>
      <w:r>
        <w:rPr>
          <w:rFonts w:ascii="Times New Roman" w:hAnsi="Times New Roman"/>
          <w:color w:val="1f1f1f"/>
          <w:sz w:val="20"/>
        </w:rPr>
        <w:t>(b)</w:t>
      </w:r>
      <w:r>
        <w:rPr>
          <w:rFonts w:ascii="Times New Roman" w:hAnsi="Times New Roman"/>
          <w:color w:val="1f1f1f"/>
          <w:sz w:val="20"/>
        </w:rPr>
        <w:t xml:space="preserve"> Following the meeting required by subsection (a) of this Code section, the county shall deliver or mail a written notice to the authority of the intent to call for a referendum to impose the tax authorized by this article. Such notice shall include a list of transit projects located within such county chosen from the regional transit plan which the county intends to fund with proceeds from the tax authorized under this article and the proposed operator of any such transit projects if such project or projects are services which require an operator.</w:t>
      </w:r>
    </w:p>
    <w:bookmarkEnd w:id="11"/>
    <w:p>
      <w:pPr>
        <w:spacing w:before="0" w:after="0" w:line="275" w:lineRule="atLeast"/>
        <w:jc w:val="both"/>
      </w:pPr>
      <w:r>
        <w:rPr>
          <w:rFonts w:ascii="Times New Roman" w:hAnsi="Times New Roman"/>
          <w:color w:val="1f1f1f"/>
          <w:sz w:val="20"/>
        </w:rPr>
        <w:t> </w:t>
      </w:r>
    </w:p>
    <w:bookmarkStart w:id="13" w:name="co_anchor_I18F55DF3579411E8915FB8AC83A3"/>
    <w:p>
      <w:pPr>
        <w:spacing w:before="200" w:after="0" w:line="275" w:lineRule="atLeast"/>
        <w:jc w:val="both"/>
      </w:pPr>
      <w:bookmarkStart w:id="14" w:name="co_pp_4b24000003ba5_1"/>
      <w:bookmarkEnd w:id="14"/>
      <w:r>
        <w:rPr>
          <w:rFonts w:ascii="Times New Roman" w:hAnsi="Times New Roman"/>
          <w:color w:val="1f1f1f"/>
          <w:sz w:val="20"/>
        </w:rPr>
        <w:t>(c)</w:t>
      </w:r>
      <w:r>
        <w:rPr>
          <w:rFonts w:ascii="Times New Roman" w:hAnsi="Times New Roman"/>
          <w:color w:val="1f1f1f"/>
          <w:sz w:val="20"/>
        </w:rPr>
        <w:t xml:space="preserve"> Upon receipt of such notice from a county, the authority shall approve or deny any or all projects within a submitted transit project list and the proposed operator of any transit projects if such project or projects are services which require an operator. In making a determination upon whether to approve transit projects, the authority shall take into consideration any other transit projects the authority has approved for any neighboring counties, any transit projects in progress in any neighboring counties, and any additional federal or state funding that may be available for any projects. The authority shall make a determination and send notification to a county approving or denying the submitted transit projects and operators, if applicable, no later than 20 days from the receipt of such list.</w:t>
      </w:r>
    </w:p>
    <w:bookmarkEnd w:id="13"/>
    <w:p>
      <w:pPr>
        <w:spacing w:before="0" w:after="0" w:line="275" w:lineRule="atLeast"/>
        <w:jc w:val="both"/>
      </w:pPr>
      <w:r>
        <w:rPr>
          <w:rFonts w:ascii="Times New Roman" w:hAnsi="Times New Roman"/>
          <w:color w:val="1f1f1f"/>
          <w:sz w:val="20"/>
        </w:rPr>
        <w:t> </w:t>
      </w:r>
    </w:p>
    <w:bookmarkStart w:id="15" w:name="co_anchor_I18F55DF4579411E8915FB8AC83A3"/>
    <w:p>
      <w:pPr>
        <w:spacing w:before="400" w:after="0" w:line="275" w:lineRule="atLeast"/>
        <w:jc w:val="both"/>
      </w:pPr>
      <w:bookmarkStart w:id="16" w:name="co_pp_5ba1000067d06_1"/>
      <w:bookmarkEnd w:id="16"/>
      <w:bookmarkStart w:id="17" w:name="co_pp_e07e0000a9f57_1"/>
      <w:bookmarkEnd w:id="17"/>
      <w:r>
        <w:rPr>
          <w:rFonts w:ascii="Times New Roman" w:hAnsi="Times New Roman"/>
          <w:color w:val="1f1f1f"/>
          <w:sz w:val="20"/>
        </w:rPr>
        <w:t>(d)</w:t>
      </w:r>
      <w:r>
        <w:rPr>
          <w:rFonts w:ascii="Times New Roman" w:hAnsi="Times New Roman"/>
          <w:color w:val="1f1f1f"/>
          <w:sz w:val="20"/>
        </w:rPr>
        <w:t>(1)</w:t>
      </w:r>
      <w:r>
        <w:rPr>
          <w:rFonts w:ascii="Times New Roman" w:hAnsi="Times New Roman"/>
          <w:color w:val="1f1f1f"/>
          <w:sz w:val="20"/>
        </w:rPr>
        <w:t xml:space="preserve"> As soon as practicable after receipt of notice from the authority, the governing authority of the county desiring to call for a referendum shall, by a majority vote on a resolution offered for such purpose, submit the list of transit projects and the question of whether the tax should be approved to electors of the special district in the next scheduled election and shall notify the county election superintendent within the special district by forwarding to the superintendent a copy of such resolution calling for the imposition of the tax. Such list, or a digest thereof, shall be available during regular business hours in the office of the county clerk.</w:t>
      </w:r>
    </w:p>
    <w:bookmarkEnd w:id="15"/>
    <w:p>
      <w:pPr>
        <w:spacing w:before="0" w:after="0" w:line="275" w:lineRule="atLeast"/>
        <w:jc w:val="both"/>
      </w:pPr>
      <w:r>
        <w:rPr>
          <w:rFonts w:ascii="Times New Roman" w:hAnsi="Times New Roman"/>
          <w:color w:val="1f1f1f"/>
          <w:sz w:val="20"/>
        </w:rPr>
        <w:t> </w:t>
      </w:r>
    </w:p>
    <w:bookmarkStart w:id="18" w:name="co_anchor_I18F55DF5579411E8915FB8AC83A3"/>
    <w:p>
      <w:pPr>
        <w:pBdr>
          <w:left w:val="none" w:space="10"/>
        </w:pBdr>
        <w:spacing w:before="200" w:after="0" w:line="275" w:lineRule="atLeast"/>
        <w:ind w:left="200" w:right="0" w:firstLine="0"/>
        <w:jc w:val="both"/>
      </w:pPr>
      <w:bookmarkStart w:id="19" w:name="co_pp_4be3000003be5_1"/>
      <w:bookmarkEnd w:id="19"/>
      <w:r>
        <w:rPr>
          <w:rFonts w:ascii="Times New Roman" w:hAnsi="Times New Roman"/>
          <w:color w:val="1f1f1f"/>
          <w:sz w:val="20"/>
        </w:rPr>
        <w:t>(2)</w:t>
      </w:r>
      <w:r>
        <w:rPr>
          <w:rFonts w:ascii="Times New Roman" w:hAnsi="Times New Roman"/>
          <w:color w:val="1f1f1f"/>
          <w:sz w:val="20"/>
        </w:rPr>
        <w:t xml:space="preserve"> The resolution authorized by paragraph (1) of this subsection shall describe or identify:</w:t>
      </w:r>
    </w:p>
    <w:bookmarkEnd w:id="18"/>
    <w:p>
      <w:pPr>
        <w:spacing w:before="0" w:after="0" w:line="275" w:lineRule="atLeast"/>
        <w:jc w:val="both"/>
      </w:pPr>
      <w:r>
        <w:rPr>
          <w:rFonts w:ascii="Times New Roman" w:hAnsi="Times New Roman"/>
          <w:color w:val="1f1f1f"/>
          <w:sz w:val="20"/>
        </w:rPr>
        <w:t> </w:t>
      </w:r>
    </w:p>
    <w:bookmarkStart w:id="20" w:name="co_anchor_I18F55DF6579411E8915FB8AC83A3"/>
    <w:p>
      <w:pPr>
        <w:pBdr>
          <w:left w:val="none" w:space="20"/>
        </w:pBdr>
        <w:spacing w:before="200" w:after="0" w:line="275" w:lineRule="atLeast"/>
        <w:ind w:left="400" w:right="0" w:firstLine="0"/>
        <w:jc w:val="both"/>
      </w:pPr>
      <w:bookmarkStart w:id="21" w:name="co_pp_ffce0000bc442_1"/>
      <w:bookmarkEnd w:id="21"/>
      <w:r>
        <w:rPr>
          <w:rFonts w:ascii="Times New Roman" w:hAnsi="Times New Roman"/>
          <w:color w:val="1f1f1f"/>
          <w:sz w:val="20"/>
        </w:rPr>
        <w:t>(A)</w:t>
      </w:r>
      <w:r>
        <w:rPr>
          <w:rFonts w:ascii="Times New Roman" w:hAnsi="Times New Roman"/>
          <w:color w:val="1f1f1f"/>
          <w:sz w:val="20"/>
        </w:rPr>
        <w:t xml:space="preserve"> The specific transit projects to be funded which shall have been selected from the regional transit plan and approved by the authority;</w:t>
      </w:r>
    </w:p>
    <w:bookmarkEnd w:id="20"/>
    <w:p>
      <w:pPr>
        <w:spacing w:before="0" w:after="0" w:line="275" w:lineRule="atLeast"/>
        <w:jc w:val="both"/>
      </w:pPr>
      <w:r>
        <w:rPr>
          <w:rFonts w:ascii="Times New Roman" w:hAnsi="Times New Roman"/>
          <w:color w:val="1f1f1f"/>
          <w:sz w:val="20"/>
        </w:rPr>
        <w:t> </w:t>
      </w:r>
    </w:p>
    <w:bookmarkStart w:id="22" w:name="co_anchor_I18F55DF7579411E8915FB8AC83A3"/>
    <w:p>
      <w:pPr>
        <w:pBdr>
          <w:left w:val="none" w:space="20"/>
        </w:pBdr>
        <w:spacing w:before="200" w:after="0" w:line="275" w:lineRule="atLeast"/>
        <w:ind w:left="400" w:right="0" w:firstLine="0"/>
        <w:jc w:val="both"/>
      </w:pPr>
      <w:bookmarkStart w:id="23" w:name="co_pp_d3750000bbb45_1"/>
      <w:bookmarkEnd w:id="23"/>
      <w:r>
        <w:rPr>
          <w:rFonts w:ascii="Times New Roman" w:hAnsi="Times New Roman"/>
          <w:color w:val="1f1f1f"/>
          <w:sz w:val="20"/>
        </w:rPr>
        <w:t>(B)</w:t>
      </w:r>
      <w:r>
        <w:rPr>
          <w:rFonts w:ascii="Times New Roman" w:hAnsi="Times New Roman"/>
          <w:color w:val="1f1f1f"/>
          <w:sz w:val="20"/>
        </w:rPr>
        <w:t xml:space="preserve"> The approximate cost of such transit projects;</w:t>
      </w:r>
    </w:p>
    <w:bookmarkEnd w:id="22"/>
    <w:p>
      <w:pPr>
        <w:spacing w:before="0" w:after="0" w:line="275" w:lineRule="atLeast"/>
        <w:jc w:val="both"/>
      </w:pPr>
      <w:r>
        <w:rPr>
          <w:rFonts w:ascii="Times New Roman" w:hAnsi="Times New Roman"/>
          <w:color w:val="1f1f1f"/>
          <w:sz w:val="20"/>
        </w:rPr>
        <w:t> </w:t>
      </w:r>
    </w:p>
    <w:bookmarkStart w:id="24" w:name="co_anchor_I18F55DF8579411E8915FB8AC83A3"/>
    <w:p>
      <w:pPr>
        <w:pBdr>
          <w:left w:val="none" w:space="20"/>
        </w:pBdr>
        <w:spacing w:before="200" w:after="0" w:line="275" w:lineRule="atLeast"/>
        <w:ind w:left="400" w:right="0" w:firstLine="0"/>
        <w:jc w:val="both"/>
      </w:pPr>
      <w:bookmarkStart w:id="25" w:name="co_pp_b8c0000081ca6_1"/>
      <w:bookmarkEnd w:id="25"/>
      <w:r>
        <w:rPr>
          <w:rFonts w:ascii="Times New Roman" w:hAnsi="Times New Roman"/>
          <w:color w:val="1f1f1f"/>
          <w:sz w:val="20"/>
        </w:rPr>
        <w:t>(C)</w:t>
      </w:r>
      <w:r>
        <w:rPr>
          <w:rFonts w:ascii="Times New Roman" w:hAnsi="Times New Roman"/>
          <w:color w:val="1f1f1f"/>
          <w:sz w:val="20"/>
        </w:rPr>
        <w:t xml:space="preserve"> The operator selected for any transit project or projects proposed if such project or projects are services which require an operator; and</w:t>
      </w:r>
    </w:p>
    <w:bookmarkEnd w:id="24"/>
    <w:p>
      <w:pPr>
        <w:spacing w:before="0" w:after="0" w:line="275" w:lineRule="atLeast"/>
        <w:jc w:val="both"/>
      </w:pPr>
      <w:r>
        <w:rPr>
          <w:rFonts w:ascii="Times New Roman" w:hAnsi="Times New Roman"/>
          <w:color w:val="1f1f1f"/>
          <w:sz w:val="20"/>
        </w:rPr>
        <w:t> </w:t>
      </w:r>
    </w:p>
    <w:bookmarkStart w:id="26" w:name="co_anchor_I18F55DF9579411E8915FB8AC83A3"/>
    <w:p>
      <w:pPr>
        <w:pBdr>
          <w:left w:val="none" w:space="20"/>
        </w:pBdr>
        <w:spacing w:before="200" w:after="0" w:line="275" w:lineRule="atLeast"/>
        <w:ind w:left="400" w:right="0" w:firstLine="0"/>
        <w:jc w:val="both"/>
      </w:pPr>
      <w:bookmarkStart w:id="27" w:name="co_pp_21440000b59a4_1"/>
      <w:bookmarkEnd w:id="27"/>
      <w:r>
        <w:rPr>
          <w:rFonts w:ascii="Times New Roman" w:hAnsi="Times New Roman"/>
          <w:color w:val="1f1f1f"/>
          <w:sz w:val="20"/>
        </w:rPr>
        <w:t>(D)</w:t>
      </w:r>
      <w:r>
        <w:rPr>
          <w:rFonts w:ascii="Times New Roman" w:hAnsi="Times New Roman"/>
          <w:color w:val="1f1f1f"/>
          <w:sz w:val="20"/>
        </w:rPr>
        <w:t xml:space="preserve"> The maximum period of time, to be stated in calendar years, for which the tax may be imposed and the rate thereof. The maximum period of time for the imposition of the tax shall not exceed 30 years.</w:t>
      </w:r>
    </w:p>
    <w:bookmarkEnd w:id="26"/>
    <w:p>
      <w:pPr>
        <w:spacing w:before="0" w:after="0" w:line="275" w:lineRule="atLeast"/>
        <w:jc w:val="both"/>
      </w:pPr>
      <w:r>
        <w:rPr>
          <w:rFonts w:ascii="Times New Roman" w:hAnsi="Times New Roman"/>
          <w:color w:val="1f1f1f"/>
          <w:sz w:val="20"/>
        </w:rPr>
        <w:t> </w:t>
      </w:r>
    </w:p>
    <w:bookmarkStart w:id="28" w:name="co_anchor_Credits_1"/>
    <w:p>
      <w:pPr>
        <w:keepNext/>
        <w:keepLines/>
        <w:spacing w:before="200" w:after="0" w:line="275" w:lineRule="atLeast"/>
        <w:jc w:val="both"/>
      </w:pPr>
      <w:r>
        <w:rPr>
          <w:rFonts w:ascii="Times New Roman" w:hAnsi="Times New Roman"/>
          <w:b/>
          <w:color w:val="212121"/>
          <w:sz w:val="20"/>
        </w:rPr>
        <w:t>Credits</w:t>
      </w:r>
    </w:p>
    <w:bookmarkEnd w:id="28"/>
    <w:bookmarkStart w:id="29" w:name="co_anchor_IB4424670597811E8A0BD8E918DB4"/>
    <w:p>
      <w:pPr>
        <w:spacing w:before="0" w:after="0" w:line="275" w:lineRule="atLeast"/>
        <w:jc w:val="both"/>
      </w:pPr>
      <w:hyperlink r:id="r15">
        <w:r>
          <w:rPr>
            <w:rFonts w:ascii="Times New Roman" w:hAnsi="Times New Roman"/>
            <w:color w:val="006fc4"/>
            <w:sz w:val="20"/>
          </w:rPr>
          <w:t>Laws 2018, Act 409, § 1-3, eff. Jan. 1, 2019</w:t>
        </w:r>
      </w:hyperlink>
      <w:r>
        <w:rPr>
          <w:rFonts w:ascii="Times New Roman" w:hAnsi="Times New Roman"/>
          <w:color w:val="1f1f1f"/>
          <w:sz w:val="20"/>
        </w:rPr>
        <w:t>.</w:t>
      </w:r>
    </w:p>
    <w:bookmarkEnd w:id="29"/>
    <w:p>
      <w:pPr>
        <w:spacing w:before="0" w:after="0" w:line="275" w:lineRule="atLeast"/>
        <w:jc w:val="both"/>
      </w:pPr>
      <w:r>
        <w:rPr>
          <w:rFonts w:ascii="Times New Roman" w:hAnsi="Times New Roman"/>
          <w:color w:val="1f1f1f"/>
          <w:sz w:val="20"/>
        </w:rPr>
        <w:t> </w:t>
      </w:r>
    </w:p>
    <w:bookmarkStart w:id="30" w:name="co_anchor_I92E082E0931811EF8E75AC5F3089"/>
    <w:p>
      <w:pPr>
        <w:spacing w:before="200" w:after="0" w:line="275" w:lineRule="atLeast"/>
      </w:pPr>
      <w:r>
        <w:rPr>
          <w:rFonts w:ascii="Times New Roman" w:hAnsi="Times New Roman"/>
          <w:color w:val="1f1f1f"/>
          <w:sz w:val="20"/>
        </w:rPr>
        <w:t>Ga. Code Ann., § 48-8-269.45, GA ST § 48-8-269.45</w:t>
      </w:r>
    </w:p>
    <w:bookmarkEnd w:id="30"/>
    <w:p>
      <w:pPr>
        <w:spacing w:before="0" w:after="0" w:line="275" w:lineRule="atLeast"/>
        <w:jc w:val="both"/>
      </w:pPr>
      <w:r>
        <w:rPr>
          <w:rFonts w:ascii="Times New Roman" w:hAnsi="Times New Roman"/>
          <w:color w:val="1f1f1f"/>
          <w:sz w:val="20"/>
        </w:rPr>
        <w:t>The statutes and Constitution are current through legislation passed at the 2025 Regular Session of the Georgia General Assembly. Some sections may be more current, see credits for details. The statutes are subject to changes by the Georgia Code Commission.</w:t>
      </w:r>
    </w:p>
    <w:p>
      <w:pPr>
        <w:spacing w:before="0" w:after="0" w:line="240" w:lineRule="auto"/>
        <w:rPr>
          <w:sz w:val="20"/>
        </w:rPr>
      </w:pPr>
    </w:p>
    <w:tbl>
      <w:tblPr>
        <w:tblInd w:w="24" w:type="dxa"/>
        <w:tblLayout w:type="fixed"/>
      </w:tblPr>
      <w:tblGrid>
        <w:gridCol w:w="4305"/>
        <w:gridCol w:w="5745"/>
      </w:tblGrid>
      <w:bookmarkStart w:id="31" w:name="co_endOfDocument_1_1"/>
      <w:tr>
        <w:tblPrEx/>
        <w:trPr/>
        <w:tc>
          <w:tcPr>
            <w:tcBorders>
              <w:top w:val="single" w:sz="4" w:color="777777"/>
            </w:tcBorders>
            <w:tcMar>
              <w:top w:w="75" w:type="dxa"/>
              <w:left w:w="24" w:type="dxa"/>
              <w:right w:w="24" w:type="dxa"/>
            </w:tcMar>
            <w:vAlign w:val="top"/>
          </w:tcPr>
          <w:p>
            <w:pPr>
              <w:spacing w:before="0" w:after="0" w:line="235" w:lineRule="atLeast"/>
            </w:pPr>
            <w:r>
              <w:rPr>
                <w:rFonts w:ascii="Times New Roman" w:hAnsi="Times New Roman"/>
                <w:b/>
                <w:color w:val="777777"/>
                <w:sz w:val="16"/>
              </w:rPr>
              <w:t>End of Document</w:t>
            </w:r>
          </w:p>
        </w:tc>
        <w:tc>
          <w:tcPr>
            <w:tcBorders>
              <w:top w:val="single" w:sz="4" w:color="777777"/>
            </w:tcBorders>
            <w:tcMar>
              <w:top w:w="75" w:type="dxa"/>
              <w:left w:w="24" w:type="dxa"/>
              <w:right w:w="24" w:type="dxa"/>
            </w:tcMar>
            <w:vAlign w:val="top"/>
          </w:tcPr>
          <w:p>
            <w:pPr>
              <w:spacing w:before="0" w:after="0" w:line="235" w:lineRule="atLeast"/>
              <w:jc w:val="right"/>
            </w:pPr>
            <w:r>
              <w:rPr>
                <w:rFonts w:ascii="Times New Roman" w:hAnsi="Times New Roman"/>
                <w:color w:val="777777"/>
                <w:sz w:val="16"/>
              </w:rPr>
              <w:t>© 2026 Thomson Reuters. No claim to original U.S. Government Works.</w:t>
            </w:r>
          </w:p>
        </w:tc>
      </w:tr>
      <w:bookmarkEnd w:id="31"/>
    </w:tbl>
    <w:sectPr>
      <w:headerReference w:type="default" r:id="r5"/>
      <w:headerReference w:type="even" r:id="r5"/>
      <w:footerReference w:type="default" r:id="r6"/>
      <w:footerReference w:type="even" r:id="r6"/>
      <w:pgSz w:w="12240" w:h="15840"/>
      <w:pgMar w:top="1080" w:bottom="1080" w:left="1080" w:right="1080" w:header="0" w:footer="0" w:gutter="0"/>
      <w:pgNumType w:fmt="decimal" w:start="1"/>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 w:name="Georgia">
    <w:family w:val="roma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9270"/>
      <w:gridCol w:w="690"/>
    </w:tblGrid>
    <w:tr>
      <w:tblPrEx/>
      <w:trPr/>
      <w:tc>
        <w:tcPr>
          <w:tcBorders>
            <w:top w:val="single" w:sz="6" w:color="aaaaaa"/>
          </w:tcBorders>
          <w:tcMar>
            <w:top w:w="60" w:type="dxa"/>
          </w:tcMar>
          <w:vAlign w:val="bottom"/>
        </w:tcPr>
        <w:p>
          <w:pPr>
            <w:spacing w:before="0" w:after="0" w:line="240" w:lineRule="auto"/>
          </w:pPr>
          <w:r>
            <w:rPr>
              <w:rFonts w:ascii="Arial" w:hAnsi="Arial"/>
              <w:color w:val="aaaaaa"/>
              <w:sz w:val="20"/>
            </w:rPr>
            <w:drawing>
              <wp:inline>
                <wp:extent cx="742950" cy="95250"/>
                <wp:docPr id="1" name="Picture 0" descr="Westlaw Logo"/>
                <a:graphic>
                  <a:graphicData uri="http://schemas.openxmlformats.org/drawingml/2006/picture">
                    <p:pic>
                      <p:nvPicPr>
                        <p:cNvPr id="2" name="Picture 0" descr="Westlaw Logo"/>
                        <p:cNvPicPr/>
                      </p:nvPicPr>
                      <p:blipFill>
                        <a:blip r:embed="r1"/>
                        <a:srcRect/>
                        <a:stretch>
                          <a:fillRect/>
                        </a:stretch>
                      </p:blipFill>
                      <p:spPr>
                        <a:xfrm>
                          <a:off x="0" y="0"/>
                          <a:ext cx="742950" cy="95250"/>
                        </a:xfrm>
                        <a:prstGeom prst="rect"/>
                      </p:spPr>
                    </p:pic>
                  </a:graphicData>
                </a:graphic>
              </wp:inline>
            </w:drawing>
          </w:r>
          <w:r>
            <w:rPr>
              <w:rFonts w:ascii="Arial" w:hAnsi="Arial"/>
              <w:color w:val="aaaaaa"/>
              <w:sz w:val="20"/>
            </w:rPr>
            <w:t xml:space="preserve"> © 2026 Thomson Reuters. No claim to original U.S. Government Works.</w:t>
          </w:r>
        </w:p>
      </w:tc>
      <w:tc>
        <w:tcPr>
          <w:tcBorders>
            <w:top w:val="single" w:sz="6" w:color="aaaaaa"/>
          </w:tcBorders>
          <w:tcMar>
            <w:top w:w="60" w:type="dxa"/>
          </w:tcMar>
          <w:vAlign w:val="top"/>
        </w:tcPr>
        <w:p>
          <w:pPr>
            <w:spacing w:before="0" w:after="0" w:line="240" w:lineRule="auto"/>
            <w:jc w:val="right"/>
          </w:pPr>
          <w:r>
            <w:rPr>
              <w:rFonts w:ascii="Arial" w:hAnsi="Arial"/>
              <w:color w:val="aaaaaa"/>
              <w:sz w:val="20"/>
            </w:rPr>
            <w:pgNum/>
          </w: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9360"/>
      <w:gridCol w:w="705"/>
    </w:tblGrid>
    <w:tr>
      <w:tblPrEx/>
      <w:trPr/>
      <w:tc>
        <w:tcPr>
          <w:tcBorders>
            <w:bottom w:val="single" w:sz="6" w:color="aaaaaa"/>
          </w:tcBorders>
          <w:tcMar>
            <w:top w:w="390" w:type="dxa"/>
            <w:bottom w:w="60" w:type="dxa"/>
          </w:tcMar>
          <w:vAlign w:val="bottom"/>
        </w:tcPr>
        <w:p>
          <w:pPr>
            <w:spacing w:before="0" w:after="0" w:line="240" w:lineRule="auto"/>
          </w:pPr>
          <w:r>
            <w:rPr>
              <w:rFonts w:ascii="Arial" w:hAnsi="Arial"/>
              <w:b/>
              <w:color w:val="555555"/>
              <w:sz w:val="18"/>
            </w:rPr>
            <w:t>§ 48-8-269.45. Notice; meetings, GA ST § 48-8-269.45</w:t>
          </w:r>
        </w:p>
      </w:tc>
      <w:tc>
        <w:tcPr>
          <w:tcBorders>
            <w:bottom w:val="single" w:sz="6" w:color="aaaaaa"/>
          </w:tcBorders>
          <w:tcMar>
            <w:top w:w="390" w:type="dxa"/>
            <w:bottom w:w="60" w:type="dxa"/>
          </w:tcMar>
          <w:vAlign w:val="top"/>
        </w:tcPr>
        <w:p>
          <w:pPr>
            <w:spacing w:before="0" w:after="0" w:line="240" w:lineRule="auto"/>
            <w:rPr>
              <w:rFonts w:ascii="Arial" w:hAnsi="Arial"/>
              <w:color w:val="000000"/>
              <w:sz w:val="18"/>
            </w:rPr>
          </w:pPr>
        </w:p>
      </w:tc>
    </w:tr>
    <w:tr>
      <w:tblPrEx/>
      <w:trPr/>
      <w:tc>
        <w:tcPr>
          <w:hMerge w:val="restart"/>
          <w:vAlign w:val="top"/>
        </w:tcPr>
        <w:p>
          <w:pPr>
            <w:spacing w:before="0" w:after="0" w:line="240" w:lineRule="auto"/>
            <w:rPr>
              <w:rFonts w:ascii="Arial" w:hAnsi="Arial"/>
              <w:color w:val="000000"/>
              <w:sz w:val="18"/>
            </w:rPr>
          </w:pPr>
        </w:p>
      </w:tc>
      <w:tc>
        <w:tcPr>
          <w:hMerge w:val="continue"/>
          <w:vAlign w:val="top"/>
        </w:tcPr>
        <w:p>
          <w:pPr>
            <w:spacing w:before="0" w:after="0" w:line="240" w:lineRule="auto"/>
            <w:rPr>
              <w:rFonts w:ascii="Arial" w:hAnsi="Arial"/>
              <w:color w:val="000000"/>
              <w:sz w:val="18"/>
            </w:rPr>
          </w:pPr>
        </w:p>
      </w:tc>
    </w:tr>
  </w:tbl>
  <w:p>
    <w:pPr>
      <w:spacing w:before="0" w:after="0" w:line="240" w:lineRule="auto"/>
    </w:pPr>
    <w:r>
      <w:rPr>
        <w:rFonts w:ascii="Arial" w:hAnsi="Arial"/>
        <w:color w:val="000000"/>
        <w:sz w:val="18"/>
      </w:rPr>
      <w:t xml:space="preserve"> </w:t>
    </w:r>
  </w:p>
</w:hdr>
</file>

<file path=numbering.xml><?xml version="1.0" encoding="utf-8"?>
<w:numbering xmlns:w="http://schemas.openxmlformats.org/wordprocessingml/2006/main">
</w:numbering>
</file>

<file path=settings.xml><?xml version="1.0" encoding="utf-8"?>
<w:settings xmlns:w="http://schemas.openxmlformats.org/wordprocessingml/2006/main">
  <w:view w:val="print"/>
  <w:bordersDoNotSurroundHeader/>
  <w:bordersDoNotSurroundFooter/>
  <w:evenAndOddHeaders/>
</w:settings>
</file>