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4E52" w14:textId="3CC6354F" w:rsidR="001E21B2" w:rsidRDefault="001E21B2" w:rsidP="001E21B2">
      <w:pPr>
        <w:suppressAutoHyphens w:val="0"/>
        <w:spacing w:after="160" w:line="259" w:lineRule="auto"/>
        <w:jc w:val="center"/>
        <w:rPr>
          <w:b/>
          <w:bCs/>
          <w:u w:val="single"/>
        </w:rPr>
      </w:pPr>
      <w:r>
        <w:rPr>
          <w:b/>
          <w:bCs/>
          <w:u w:val="single"/>
        </w:rPr>
        <w:t>Local Ballot Measures Panel</w:t>
      </w:r>
    </w:p>
    <w:p w14:paraId="3339A0FB" w14:textId="77777777" w:rsidR="001E21B2" w:rsidRDefault="001E21B2" w:rsidP="001E21B2">
      <w:pPr>
        <w:suppressAutoHyphens w:val="0"/>
        <w:spacing w:after="160" w:line="259" w:lineRule="auto"/>
        <w:jc w:val="center"/>
        <w:rPr>
          <w:b/>
          <w:bCs/>
          <w:u w:val="single"/>
        </w:rPr>
      </w:pPr>
    </w:p>
    <w:p w14:paraId="767795F6" w14:textId="2648E1FC" w:rsidR="00740D42" w:rsidRPr="00ED5909" w:rsidRDefault="00740D42" w:rsidP="00ED5909">
      <w:pPr>
        <w:suppressAutoHyphens w:val="0"/>
        <w:spacing w:after="160" w:line="259" w:lineRule="auto"/>
        <w:rPr>
          <w:rFonts w:eastAsia="SimSun"/>
          <w:b/>
          <w:bCs/>
          <w:szCs w:val="20"/>
          <w:u w:val="single"/>
        </w:rPr>
      </w:pPr>
      <w:r w:rsidRPr="00ED5909">
        <w:rPr>
          <w:b/>
          <w:bCs/>
          <w:u w:val="single"/>
        </w:rPr>
        <w:t>Synopsis of the law materials:</w:t>
      </w:r>
    </w:p>
    <w:p w14:paraId="1D21970D" w14:textId="77777777" w:rsidR="00517B53" w:rsidRDefault="00740D42" w:rsidP="00517B53">
      <w:pPr>
        <w:pStyle w:val="Normal0"/>
        <w:numPr>
          <w:ilvl w:val="0"/>
          <w:numId w:val="14"/>
        </w:numPr>
        <w:suppressAutoHyphens w:val="0"/>
        <w:autoSpaceDE w:val="0"/>
        <w:autoSpaceDN w:val="0"/>
        <w:adjustRightInd w:val="0"/>
      </w:pPr>
      <w:r w:rsidRPr="00517B53">
        <w:rPr>
          <w:i/>
          <w:iCs/>
        </w:rPr>
        <w:t>Stanson v. Mott</w:t>
      </w:r>
      <w:r w:rsidRPr="00740D42">
        <w:t>, 17 Cal.3d 206 (1970)</w:t>
      </w:r>
      <w:r w:rsidR="00B3797C">
        <w:t xml:space="preserve">: </w:t>
      </w:r>
      <w:r w:rsidR="008B7CFF">
        <w:t>“</w:t>
      </w:r>
      <w:r w:rsidR="00B3797C">
        <w:t>A principal danger feared by our country's founders lay in the possibility that the</w:t>
      </w:r>
      <w:r w:rsidR="008B7CFF">
        <w:t xml:space="preserve"> </w:t>
      </w:r>
      <w:r w:rsidR="00B3797C">
        <w:t>holders of governmental authority would use official power improperly to</w:t>
      </w:r>
      <w:r w:rsidR="008B7CFF">
        <w:t xml:space="preserve"> </w:t>
      </w:r>
      <w:r w:rsidR="00B3797C">
        <w:t>perpetuate themselves, or their allies, in office [citations omitted]; the selective</w:t>
      </w:r>
      <w:r w:rsidR="008B7CFF">
        <w:t xml:space="preserve"> </w:t>
      </w:r>
      <w:r w:rsidR="00B3797C">
        <w:t>use of public funds in election campaigns, of course, raises the specter of just</w:t>
      </w:r>
      <w:r w:rsidR="008B7CFF">
        <w:t xml:space="preserve"> </w:t>
      </w:r>
      <w:r w:rsidR="00B3797C">
        <w:t>such an improper distortion of the democratic electoral process.</w:t>
      </w:r>
      <w:r w:rsidR="008B7CFF">
        <w:t>”</w:t>
      </w:r>
      <w:r w:rsidR="00B3797C">
        <w:t xml:space="preserve"> (</w:t>
      </w:r>
      <w:r w:rsidR="00B3797C" w:rsidRPr="008B7CFF">
        <w:rPr>
          <w:i/>
          <w:iCs/>
        </w:rPr>
        <w:t xml:space="preserve">Stanson </w:t>
      </w:r>
      <w:r w:rsidR="00B3797C">
        <w:t>at</w:t>
      </w:r>
      <w:r w:rsidR="008B7CFF">
        <w:t xml:space="preserve"> </w:t>
      </w:r>
      <w:r w:rsidR="00B3797C">
        <w:t>217.)</w:t>
      </w:r>
    </w:p>
    <w:p w14:paraId="67FD03B2" w14:textId="77777777" w:rsidR="00ED5909" w:rsidRDefault="00ED5909" w:rsidP="00ED5909">
      <w:pPr>
        <w:pStyle w:val="Normal0"/>
        <w:suppressAutoHyphens w:val="0"/>
        <w:autoSpaceDE w:val="0"/>
        <w:autoSpaceDN w:val="0"/>
        <w:adjustRightInd w:val="0"/>
        <w:ind w:left="1440"/>
      </w:pPr>
    </w:p>
    <w:p w14:paraId="389D2902" w14:textId="77777777" w:rsidR="00517B53" w:rsidRDefault="008B7CFF" w:rsidP="00517B53">
      <w:pPr>
        <w:pStyle w:val="Normal0"/>
        <w:numPr>
          <w:ilvl w:val="0"/>
          <w:numId w:val="14"/>
        </w:numPr>
        <w:suppressAutoHyphens w:val="0"/>
        <w:autoSpaceDE w:val="0"/>
        <w:autoSpaceDN w:val="0"/>
        <w:adjustRightInd w:val="0"/>
      </w:pPr>
      <w:r w:rsidRPr="00517B53">
        <w:rPr>
          <w:i/>
          <w:iCs/>
        </w:rPr>
        <w:t>Miller v. Miller</w:t>
      </w:r>
      <w:r>
        <w:t>, 87 Cal. App. 3d 762 (Cal. App. 3d Dist. 1978): "[T]</w:t>
      </w:r>
      <w:proofErr w:type="gramStart"/>
      <w:r>
        <w:t>he</w:t>
      </w:r>
      <w:proofErr w:type="gramEnd"/>
      <w:r>
        <w:t xml:space="preserve"> real issue under </w:t>
      </w:r>
      <w:r w:rsidRPr="00517B53">
        <w:rPr>
          <w:i/>
          <w:iCs/>
        </w:rPr>
        <w:t xml:space="preserve">Stanson </w:t>
      </w:r>
      <w:r>
        <w:t xml:space="preserve">is not the </w:t>
      </w:r>
      <w:r w:rsidRPr="00517B53">
        <w:rPr>
          <w:i/>
          <w:iCs/>
        </w:rPr>
        <w:t xml:space="preserve">objective </w:t>
      </w:r>
      <w:r>
        <w:t xml:space="preserve">of the promotional activity but the </w:t>
      </w:r>
      <w:r w:rsidRPr="00517B53">
        <w:rPr>
          <w:i/>
          <w:iCs/>
        </w:rPr>
        <w:t xml:space="preserve">audience </w:t>
      </w:r>
      <w:r>
        <w:t>to which it is directed." (</w:t>
      </w:r>
      <w:r w:rsidRPr="00517B53">
        <w:rPr>
          <w:i/>
          <w:iCs/>
        </w:rPr>
        <w:t xml:space="preserve">Miller </w:t>
      </w:r>
      <w:r>
        <w:t>at 769.)</w:t>
      </w:r>
      <w:r w:rsidR="00940BED">
        <w:t xml:space="preserve">; “It is one thing for a public agency to present its point of view to the Legislature. It is quite </w:t>
      </w:r>
      <w:proofErr w:type="gramStart"/>
      <w:r w:rsidR="00940BED">
        <w:t>another</w:t>
      </w:r>
      <w:proofErr w:type="gramEnd"/>
      <w:r w:rsidR="00940BED">
        <w:t xml:space="preserve"> for it to use the public treasury to finance an appeal to the voters to lobby their Legislature in support of the agency’s point of view. The latter undermines or distorts the legislative process just as clearly as the use of the public treasury to mount an election campaign distorts the integrity of the electoral process.” (</w:t>
      </w:r>
      <w:r w:rsidR="00940BED" w:rsidRPr="00517B53">
        <w:rPr>
          <w:i/>
          <w:iCs/>
        </w:rPr>
        <w:t xml:space="preserve">Miller </w:t>
      </w:r>
      <w:r w:rsidR="00940BED">
        <w:t>at 768-769.)</w:t>
      </w:r>
    </w:p>
    <w:p w14:paraId="32AA8E33" w14:textId="77777777" w:rsidR="00ED5909" w:rsidRDefault="00ED5909" w:rsidP="00ED5909">
      <w:pPr>
        <w:pStyle w:val="Normal0"/>
        <w:suppressAutoHyphens w:val="0"/>
        <w:autoSpaceDE w:val="0"/>
        <w:autoSpaceDN w:val="0"/>
        <w:adjustRightInd w:val="0"/>
        <w:ind w:left="1440"/>
      </w:pPr>
    </w:p>
    <w:p w14:paraId="36DBA4AC" w14:textId="5D44B95C" w:rsidR="00ED5909" w:rsidRPr="00ED5909" w:rsidRDefault="00517B53" w:rsidP="00ED5909">
      <w:pPr>
        <w:pStyle w:val="Normal0"/>
        <w:numPr>
          <w:ilvl w:val="0"/>
          <w:numId w:val="14"/>
        </w:numPr>
        <w:suppressAutoHyphens w:val="0"/>
        <w:autoSpaceDE w:val="0"/>
        <w:autoSpaceDN w:val="0"/>
        <w:adjustRightInd w:val="0"/>
      </w:pPr>
      <w:r w:rsidRPr="00517B53">
        <w:rPr>
          <w:i/>
          <w:iCs/>
        </w:rPr>
        <w:t>Vargas v. City of Salinas</w:t>
      </w:r>
      <w:r w:rsidRPr="00740D42">
        <w:t>, 46 Cal. 4th 1 (April 20, 2009)</w:t>
      </w:r>
      <w:r>
        <w:t>:</w:t>
      </w:r>
      <w:r w:rsidR="00ED5909">
        <w:t xml:space="preserve"> “</w:t>
      </w:r>
      <w:r w:rsidR="00ED5909" w:rsidRPr="00ED5909">
        <w:t>As we have seen, the </w:t>
      </w:r>
      <w:r w:rsidR="00ED5909" w:rsidRPr="00ED5909">
        <w:rPr>
          <w:i/>
          <w:iCs/>
        </w:rPr>
        <w:t>Stanson</w:t>
      </w:r>
      <w:r w:rsidR="00ED5909" w:rsidRPr="00ED5909">
        <w:t> decision explicitly</w:t>
      </w:r>
      <w:r w:rsidR="00ED5909">
        <w:t xml:space="preserve"> </w:t>
      </w:r>
      <w:r w:rsidR="00ED5909" w:rsidRPr="00ED5909">
        <w:t>identified a number of materials and activities that unquestionably constitute</w:t>
      </w:r>
      <w:r w:rsidR="00ED5909">
        <w:t xml:space="preserve"> </w:t>
      </w:r>
      <w:r w:rsidR="00ED5909" w:rsidRPr="00ED5909">
        <w:t>campaign activities (without any need to consider their “style, tenor and</w:t>
      </w:r>
      <w:r w:rsidR="00ED5909">
        <w:t xml:space="preserve"> </w:t>
      </w:r>
      <w:r w:rsidR="00ED5909" w:rsidRPr="00ED5909">
        <w:t>timing”) — for example, the use of public funds to purchase bumper stickers,</w:t>
      </w:r>
      <w:r w:rsidR="00ED5909">
        <w:t xml:space="preserve"> p</w:t>
      </w:r>
      <w:r w:rsidR="00ED5909" w:rsidRPr="00ED5909">
        <w:t>osters, advertising “floats,” or television and radio “spots” — and also identified</w:t>
      </w:r>
      <w:bookmarkStart w:id="0" w:name="40"/>
      <w:bookmarkEnd w:id="0"/>
      <w:r w:rsidR="00ED5909">
        <w:t xml:space="preserve"> </w:t>
      </w:r>
      <w:r w:rsidR="00ED5909" w:rsidRPr="00ED5909">
        <w:t>a number of activities that are clearly informational — for example, providing a</w:t>
      </w:r>
      <w:r w:rsidR="00ED5909">
        <w:t xml:space="preserve"> </w:t>
      </w:r>
      <w:r w:rsidR="00ED5909" w:rsidRPr="00ED5909">
        <w:t>fair presentation of facts in response to a citizen’s request for information. (</w:t>
      </w:r>
      <w:r w:rsidR="00ED5909" w:rsidRPr="00ED5909">
        <w:rPr>
          <w:i/>
          <w:iCs/>
        </w:rPr>
        <w:t>Id</w:t>
      </w:r>
      <w:r w:rsidR="00ED5909" w:rsidRPr="00ED5909">
        <w:t>. At</w:t>
      </w:r>
      <w:r w:rsidR="00ED5909">
        <w:t xml:space="preserve"> </w:t>
      </w:r>
      <w:r w:rsidR="00ED5909" w:rsidRPr="00ED5909">
        <w:t>p. 221.) The circumstance that </w:t>
      </w:r>
      <w:r w:rsidR="00ED5909" w:rsidRPr="00ED5909">
        <w:rPr>
          <w:i/>
          <w:iCs/>
        </w:rPr>
        <w:t>in some instances</w:t>
      </w:r>
      <w:r w:rsidR="00ED5909" w:rsidRPr="00ED5909">
        <w:t> it may be necessary to consider</w:t>
      </w:r>
      <w:r w:rsidR="00ED5909">
        <w:t xml:space="preserve"> </w:t>
      </w:r>
      <w:r w:rsidR="00ED5909" w:rsidRPr="00ED5909">
        <w:t>the style, tenor, and timing of a communication or activity to determine whether,</w:t>
      </w:r>
      <w:r w:rsidR="00ED5909">
        <w:t xml:space="preserve"> </w:t>
      </w:r>
      <w:r w:rsidR="00ED5909" w:rsidRPr="00ED5909">
        <w:t>from an objective standpoint, the communication or activity</w:t>
      </w:r>
      <w:r w:rsidR="00ED5909">
        <w:t xml:space="preserve"> r</w:t>
      </w:r>
      <w:r w:rsidR="00ED5909" w:rsidRPr="00ED5909">
        <w:t>ealistically</w:t>
      </w:r>
      <w:r w:rsidR="00ED5909">
        <w:t xml:space="preserve"> </w:t>
      </w:r>
      <w:r w:rsidR="00ED5909" w:rsidRPr="00ED5909">
        <w:t>constitutes </w:t>
      </w:r>
      <w:r w:rsidR="00ED5909" w:rsidRPr="00ED5909">
        <w:rPr>
          <w:i/>
          <w:iCs/>
        </w:rPr>
        <w:t>campaign</w:t>
      </w:r>
      <w:r w:rsidR="00ED5909" w:rsidRPr="00ED5909">
        <w:t> activity rather</w:t>
      </w:r>
      <w:r w:rsidR="00ED5909">
        <w:t xml:space="preserve"> than </w:t>
      </w:r>
      <w:r w:rsidR="00ED5909" w:rsidRPr="00ED5909">
        <w:rPr>
          <w:i/>
          <w:iCs/>
        </w:rPr>
        <w:t>informatio</w:t>
      </w:r>
      <w:r w:rsidR="00ED5909">
        <w:rPr>
          <w:i/>
          <w:iCs/>
        </w:rPr>
        <w:t xml:space="preserve">nal </w:t>
      </w:r>
      <w:r w:rsidR="00ED5909">
        <w:t>material,</w:t>
      </w:r>
      <w:r w:rsidR="00ED5909" w:rsidRPr="00ED5909">
        <w:t xml:space="preserve"> does not render</w:t>
      </w:r>
      <w:r w:rsidR="00ED5909">
        <w:t xml:space="preserve"> </w:t>
      </w:r>
      <w:r w:rsidR="00ED5909" w:rsidRPr="00ED5909">
        <w:t>the distinction between campaign and informational activities impermissibly</w:t>
      </w:r>
      <w:r w:rsidR="00ED5909">
        <w:t xml:space="preserve"> </w:t>
      </w:r>
      <w:r w:rsidR="00ED5909" w:rsidRPr="00ED5909">
        <w:t>vague. Since our decision in </w:t>
      </w:r>
      <w:r w:rsidR="00ED5909" w:rsidRPr="00ED5909">
        <w:rPr>
          <w:i/>
          <w:iCs/>
        </w:rPr>
        <w:t>Stanson</w:t>
      </w:r>
      <w:r w:rsidR="00ED5909" w:rsidRPr="00ED5909">
        <w:t>, numerous out-of-state decisions have cited</w:t>
      </w:r>
      <w:r w:rsidR="00ED5909">
        <w:t xml:space="preserve"> </w:t>
      </w:r>
      <w:r w:rsidR="00ED5909" w:rsidRPr="00ED5909">
        <w:t>that opinion and utilized a comparable analysis in evaluating the propriety of</w:t>
      </w:r>
      <w:r w:rsidR="00ED5909">
        <w:t xml:space="preserve"> </w:t>
      </w:r>
      <w:r w:rsidR="00ED5909" w:rsidRPr="00ED5909">
        <w:t>public expenditures for a variety of election-related material and activities (see,</w:t>
      </w:r>
      <w:r w:rsidR="00ED5909">
        <w:t xml:space="preserve"> </w:t>
      </w:r>
      <w:r w:rsidR="00ED5909" w:rsidRPr="00ED5909">
        <w:t>e.g., </w:t>
      </w:r>
      <w:r w:rsidR="00ED5909" w:rsidRPr="00ED5909">
        <w:rPr>
          <w:i/>
          <w:iCs/>
        </w:rPr>
        <w:t>Anderson v. City of Boston</w:t>
      </w:r>
      <w:r w:rsidR="00ED5909" w:rsidRPr="00ED5909">
        <w:t> (Mass. 1978) 380 N.E.2d 628, appeal dismissed</w:t>
      </w:r>
      <w:r w:rsidR="00ED5909">
        <w:t xml:space="preserve"> </w:t>
      </w:r>
      <w:r w:rsidR="00ED5909" w:rsidRPr="00ED5909">
        <w:t>for want of substantial federal question (1979) </w:t>
      </w:r>
      <w:hyperlink r:id="rId7" w:history="1">
        <w:r w:rsidR="00ED5909" w:rsidRPr="00ED5909">
          <w:rPr>
            <w:rStyle w:val="Hyperlink"/>
          </w:rPr>
          <w:t>439 U.S. 1060</w:t>
        </w:r>
      </w:hyperlink>
      <w:r w:rsidR="00ED5909" w:rsidRPr="00ED5909">
        <w:t>; </w:t>
      </w:r>
      <w:r w:rsidR="00ED5909" w:rsidRPr="00ED5909">
        <w:rPr>
          <w:i/>
          <w:iCs/>
        </w:rPr>
        <w:t xml:space="preserve">Smith v. Dorsey </w:t>
      </w:r>
      <w:r w:rsidR="00ED5909" w:rsidRPr="00ED5909">
        <w:t>(Miss. 1991) 599 So.2d 529, 540-544; </w:t>
      </w:r>
      <w:r w:rsidR="00ED5909" w:rsidRPr="00ED5909">
        <w:rPr>
          <w:i/>
          <w:iCs/>
        </w:rPr>
        <w:t>Burt v. Blumenauer</w:t>
      </w:r>
      <w:r w:rsidR="00ED5909" w:rsidRPr="00ED5909">
        <w:t> (Or. 1985) 699 P.2d</w:t>
      </w:r>
      <w:r w:rsidR="00ED5909">
        <w:t xml:space="preserve"> </w:t>
      </w:r>
      <w:r w:rsidR="00ED5909" w:rsidRPr="00ED5909">
        <w:t>168, 171-181; </w:t>
      </w:r>
      <w:r w:rsidR="00ED5909" w:rsidRPr="00ED5909">
        <w:rPr>
          <w:i/>
          <w:iCs/>
        </w:rPr>
        <w:t>Dollar v. Town of Cary</w:t>
      </w:r>
      <w:r w:rsidR="00ED5909" w:rsidRPr="00ED5909">
        <w:t>, </w:t>
      </w:r>
      <w:r w:rsidR="00ED5909" w:rsidRPr="00ED5909">
        <w:rPr>
          <w:i/>
          <w:iCs/>
        </w:rPr>
        <w:t>supra</w:t>
      </w:r>
      <w:r w:rsidR="00ED5909" w:rsidRPr="00ED5909">
        <w:t>, 569 S.E.2d 731, 733-734), and the</w:t>
      </w:r>
      <w:r w:rsidR="00ED5909">
        <w:t xml:space="preserve"> </w:t>
      </w:r>
      <w:r w:rsidR="00ED5909" w:rsidRPr="00ED5909">
        <w:t>City has failed to cite any authority that has concluded the </w:t>
      </w:r>
      <w:r w:rsidR="00ED5909" w:rsidRPr="00ED5909">
        <w:rPr>
          <w:i/>
          <w:iCs/>
        </w:rPr>
        <w:t>Stanson</w:t>
      </w:r>
      <w:r w:rsidR="00ED5909" w:rsidRPr="00ED5909">
        <w:t> standard is</w:t>
      </w:r>
      <w:r w:rsidR="00ED5909">
        <w:t xml:space="preserve"> </w:t>
      </w:r>
      <w:r w:rsidR="00ED5909" w:rsidRPr="00ED5909">
        <w:t>unconstitutionally vague. (See </w:t>
      </w:r>
      <w:r w:rsidR="00ED5909" w:rsidRPr="00ED5909">
        <w:rPr>
          <w:i/>
          <w:iCs/>
        </w:rPr>
        <w:t xml:space="preserve">Sweetman v. State Elections Enforcement Comm. </w:t>
      </w:r>
      <w:r w:rsidR="00ED5909" w:rsidRPr="00ED5909">
        <w:t>(Conn. 1999) 732 A.2d 144, 160-162 [explicitly rejecting similar constitutional</w:t>
      </w:r>
      <w:r w:rsidR="00ED5909">
        <w:t xml:space="preserve"> </w:t>
      </w:r>
      <w:r w:rsidR="00ED5909" w:rsidRPr="00ED5909">
        <w:t>vagueness challenge].)</w:t>
      </w:r>
      <w:r w:rsidR="00ED5909">
        <w:t xml:space="preserve"> </w:t>
      </w:r>
      <w:r w:rsidR="00ED5909" w:rsidRPr="00ED5909">
        <w:t>Accordingly, we conclude the campaign activity/informational material</w:t>
      </w:r>
      <w:r w:rsidR="00ED5909">
        <w:t xml:space="preserve"> </w:t>
      </w:r>
      <w:r w:rsidR="00ED5909" w:rsidRPr="00ED5909">
        <w:t>dichotomy set forth in </w:t>
      </w:r>
      <w:r w:rsidR="00ED5909" w:rsidRPr="00ED5909">
        <w:rPr>
          <w:i/>
          <w:iCs/>
        </w:rPr>
        <w:t>Stanson</w:t>
      </w:r>
      <w:r w:rsidR="00ED5909" w:rsidRPr="00ED5909">
        <w:t>, </w:t>
      </w:r>
      <w:r w:rsidR="00ED5909" w:rsidRPr="00ED5909">
        <w:rPr>
          <w:i/>
          <w:iCs/>
        </w:rPr>
        <w:t>supra</w:t>
      </w:r>
      <w:r w:rsidR="00ED5909" w:rsidRPr="00ED5909">
        <w:t>, 17 Cal.3d 206, 220-223, remains the</w:t>
      </w:r>
      <w:r w:rsidR="00ED5909">
        <w:t xml:space="preserve"> </w:t>
      </w:r>
      <w:r w:rsidR="00ED5909" w:rsidRPr="00ED5909">
        <w:t>appropriate standard for distinguishing the type of activities that presumptively</w:t>
      </w:r>
      <w:r w:rsidR="00ED5909">
        <w:t xml:space="preserve"> </w:t>
      </w:r>
      <w:r w:rsidR="00ED5909" w:rsidRPr="00ED5909">
        <w:t>may not be paid for by public funds, from those activities that presumptively may</w:t>
      </w:r>
      <w:r w:rsidR="00ED5909">
        <w:t xml:space="preserve"> </w:t>
      </w:r>
      <w:r w:rsidR="00ED5909" w:rsidRPr="00ED5909">
        <w:t xml:space="preserve">be financed from public </w:t>
      </w:r>
      <w:proofErr w:type="gramStart"/>
      <w:r w:rsidR="00ED5909" w:rsidRPr="00ED5909">
        <w:t>funds</w:t>
      </w:r>
      <w:r w:rsidR="00ED5909">
        <w:t>.”</w:t>
      </w:r>
      <w:proofErr w:type="gramEnd"/>
      <w:r w:rsidR="00ED5909">
        <w:t xml:space="preserve"> (</w:t>
      </w:r>
      <w:r w:rsidR="00ED5909" w:rsidRPr="00ED5909">
        <w:rPr>
          <w:i/>
          <w:iCs/>
        </w:rPr>
        <w:t>Vargas at 38-39)</w:t>
      </w:r>
    </w:p>
    <w:p w14:paraId="1EB5C635" w14:textId="77777777" w:rsidR="00ED5909" w:rsidRDefault="00ED5909" w:rsidP="00ED5909">
      <w:pPr>
        <w:pStyle w:val="Normal0"/>
        <w:suppressAutoHyphens w:val="0"/>
        <w:autoSpaceDE w:val="0"/>
        <w:autoSpaceDN w:val="0"/>
        <w:adjustRightInd w:val="0"/>
        <w:ind w:left="1440"/>
      </w:pPr>
    </w:p>
    <w:p w14:paraId="054392B4" w14:textId="77777777" w:rsidR="00517B53" w:rsidRDefault="008B7CFF" w:rsidP="00517B53">
      <w:pPr>
        <w:pStyle w:val="Normal0"/>
        <w:numPr>
          <w:ilvl w:val="0"/>
          <w:numId w:val="14"/>
        </w:numPr>
        <w:suppressAutoHyphens w:val="0"/>
        <w:autoSpaceDE w:val="0"/>
        <w:autoSpaceDN w:val="0"/>
        <w:adjustRightInd w:val="0"/>
      </w:pPr>
      <w:r>
        <w:lastRenderedPageBreak/>
        <w:t xml:space="preserve">42 </w:t>
      </w:r>
      <w:proofErr w:type="spellStart"/>
      <w:r>
        <w:t>Ops.Cal.Atty.Gen</w:t>
      </w:r>
      <w:proofErr w:type="spellEnd"/>
      <w:r>
        <w:t>. 25 (1963)</w:t>
      </w:r>
      <w:r w:rsidR="00940BED">
        <w:t xml:space="preserve">: </w:t>
      </w:r>
      <w:r>
        <w:t>The mailing of information and recommendations regarding pending welfare legislation to voters at County expense was not permitted by statute</w:t>
      </w:r>
    </w:p>
    <w:p w14:paraId="75318619" w14:textId="77777777" w:rsidR="00517B53" w:rsidRDefault="008B7CFF" w:rsidP="00517B53">
      <w:pPr>
        <w:pStyle w:val="Normal0"/>
        <w:numPr>
          <w:ilvl w:val="0"/>
          <w:numId w:val="14"/>
        </w:numPr>
        <w:suppressAutoHyphens w:val="0"/>
        <w:autoSpaceDE w:val="0"/>
        <w:autoSpaceDN w:val="0"/>
        <w:adjustRightInd w:val="0"/>
      </w:pPr>
      <w:r>
        <w:t xml:space="preserve">66 </w:t>
      </w:r>
      <w:proofErr w:type="spellStart"/>
      <w:r>
        <w:t>Ops.Cal.Atty.Gen</w:t>
      </w:r>
      <w:proofErr w:type="spellEnd"/>
      <w:r>
        <w:t>. 186 (1983)</w:t>
      </w:r>
      <w:r w:rsidR="00940BED">
        <w:t xml:space="preserve">: </w:t>
      </w:r>
      <w:r>
        <w:t>County funds may be spent under Cal. Govt. Code Section 50023 only to “attend” the legislature and “present information"</w:t>
      </w:r>
    </w:p>
    <w:p w14:paraId="0B572813" w14:textId="77777777" w:rsidR="00ED5909" w:rsidRDefault="00ED5909" w:rsidP="00ED5909">
      <w:pPr>
        <w:pStyle w:val="Normal0"/>
        <w:suppressAutoHyphens w:val="0"/>
        <w:autoSpaceDE w:val="0"/>
        <w:autoSpaceDN w:val="0"/>
        <w:adjustRightInd w:val="0"/>
        <w:ind w:left="1440"/>
      </w:pPr>
    </w:p>
    <w:p w14:paraId="42133468" w14:textId="77777777" w:rsidR="00517B53" w:rsidRDefault="008B7CFF" w:rsidP="00517B53">
      <w:pPr>
        <w:pStyle w:val="Normal0"/>
        <w:numPr>
          <w:ilvl w:val="0"/>
          <w:numId w:val="14"/>
        </w:numPr>
        <w:suppressAutoHyphens w:val="0"/>
        <w:autoSpaceDE w:val="0"/>
        <w:autoSpaceDN w:val="0"/>
        <w:adjustRightInd w:val="0"/>
      </w:pPr>
      <w:r>
        <w:t xml:space="preserve">73 </w:t>
      </w:r>
      <w:proofErr w:type="spellStart"/>
      <w:r>
        <w:t>Ops.Atty.Gen</w:t>
      </w:r>
      <w:proofErr w:type="spellEnd"/>
      <w:r>
        <w:t>. 255 (1990)</w:t>
      </w:r>
      <w:r w:rsidR="00940BED">
        <w:t xml:space="preserve">: </w:t>
      </w:r>
      <w:r>
        <w:t>Public funds may be spent to draft an initiative and provide impartial information</w:t>
      </w:r>
      <w:r w:rsidR="00940BED">
        <w:t>.</w:t>
      </w:r>
    </w:p>
    <w:p w14:paraId="5890871D" w14:textId="77777777" w:rsidR="00ED5909" w:rsidRDefault="00ED5909" w:rsidP="00ED5909">
      <w:pPr>
        <w:pStyle w:val="Normal0"/>
        <w:suppressAutoHyphens w:val="0"/>
        <w:autoSpaceDE w:val="0"/>
        <w:autoSpaceDN w:val="0"/>
        <w:adjustRightInd w:val="0"/>
        <w:ind w:left="1440"/>
      </w:pPr>
    </w:p>
    <w:p w14:paraId="3FF5B169" w14:textId="4BD4E99E" w:rsidR="00740D42" w:rsidRDefault="00740D42" w:rsidP="00517B53">
      <w:pPr>
        <w:pStyle w:val="Normal0"/>
        <w:numPr>
          <w:ilvl w:val="0"/>
          <w:numId w:val="14"/>
        </w:numPr>
        <w:suppressAutoHyphens w:val="0"/>
        <w:autoSpaceDE w:val="0"/>
        <w:autoSpaceDN w:val="0"/>
        <w:adjustRightInd w:val="0"/>
      </w:pPr>
      <w:r>
        <w:t xml:space="preserve">Cal. </w:t>
      </w:r>
      <w:r w:rsidRPr="00740D42">
        <w:t xml:space="preserve">Gov't. Code </w:t>
      </w:r>
      <w:r w:rsidR="00B3797C" w:rsidRPr="00B3797C">
        <w:t>§§ 3205</w:t>
      </w:r>
      <w:r w:rsidR="00874E9A">
        <w:t>-3209</w:t>
      </w:r>
      <w:r w:rsidR="00B3797C" w:rsidRPr="00B3797C">
        <w:t>, 8314</w:t>
      </w:r>
      <w:r w:rsidR="00B3797C">
        <w:t>,</w:t>
      </w:r>
      <w:r w:rsidRPr="00740D42">
        <w:t xml:space="preserve"> 54964</w:t>
      </w:r>
      <w:r>
        <w:t xml:space="preserve"> </w:t>
      </w:r>
    </w:p>
    <w:p w14:paraId="19548829" w14:textId="77777777" w:rsidR="00E917B1" w:rsidRDefault="00E917B1" w:rsidP="00E917B1">
      <w:pPr>
        <w:pStyle w:val="Normal0"/>
        <w:suppressAutoHyphens w:val="0"/>
        <w:autoSpaceDE w:val="0"/>
        <w:autoSpaceDN w:val="0"/>
        <w:adjustRightInd w:val="0"/>
        <w:ind w:left="1440"/>
      </w:pPr>
    </w:p>
    <w:p w14:paraId="512A9FF2" w14:textId="3575D193" w:rsidR="00E917B1" w:rsidRDefault="00E917B1" w:rsidP="00517B53">
      <w:pPr>
        <w:pStyle w:val="Normal0"/>
        <w:numPr>
          <w:ilvl w:val="0"/>
          <w:numId w:val="14"/>
        </w:numPr>
        <w:suppressAutoHyphens w:val="0"/>
        <w:autoSpaceDE w:val="0"/>
        <w:autoSpaceDN w:val="0"/>
        <w:adjustRightInd w:val="0"/>
      </w:pPr>
      <w:r>
        <w:t>Shayna’s Revenue Options Guide, SB 63 Do’s and Don’ts</w:t>
      </w:r>
    </w:p>
    <w:p w14:paraId="2ACDA5C3" w14:textId="3087D39E" w:rsidR="00B3797C" w:rsidRDefault="00B3797C">
      <w:pPr>
        <w:suppressAutoHyphens w:val="0"/>
        <w:spacing w:after="160" w:line="259" w:lineRule="auto"/>
        <w:rPr>
          <w:rFonts w:eastAsia="SimSun"/>
          <w:szCs w:val="20"/>
        </w:rPr>
      </w:pPr>
    </w:p>
    <w:p w14:paraId="1A916A44" w14:textId="77777777" w:rsidR="00B3797C" w:rsidRPr="00B3797C" w:rsidRDefault="00B3797C" w:rsidP="00B3797C">
      <w:pPr>
        <w:pStyle w:val="Normal0"/>
      </w:pPr>
      <w:r w:rsidRPr="00B3797C">
        <w:t>  </w:t>
      </w:r>
    </w:p>
    <w:p w14:paraId="0FCB92F2" w14:textId="16801ACB" w:rsidR="00940BED" w:rsidRDefault="00940BED" w:rsidP="00940BED">
      <w:pPr>
        <w:suppressAutoHyphens w:val="0"/>
        <w:spacing w:after="160" w:line="259" w:lineRule="auto"/>
        <w:rPr>
          <w:b/>
          <w:bCs/>
        </w:rPr>
      </w:pPr>
      <w:r w:rsidRPr="00B3797C">
        <w:rPr>
          <w:b/>
          <w:bCs/>
        </w:rPr>
        <w:t>California Government Code section</w:t>
      </w:r>
      <w:r>
        <w:rPr>
          <w:b/>
          <w:bCs/>
        </w:rPr>
        <w:t>s 3205-</w:t>
      </w:r>
      <w:r w:rsidR="00874E9A">
        <w:rPr>
          <w:b/>
          <w:bCs/>
        </w:rPr>
        <w:t>3209</w:t>
      </w:r>
    </w:p>
    <w:p w14:paraId="08AB5768" w14:textId="13992566" w:rsidR="00940BED" w:rsidRPr="00940BED" w:rsidRDefault="00940BED" w:rsidP="00940BED">
      <w:pPr>
        <w:suppressAutoHyphens w:val="0"/>
        <w:spacing w:after="160" w:line="259" w:lineRule="auto"/>
      </w:pPr>
      <w:proofErr w:type="gramStart"/>
      <w:r w:rsidRPr="00940BED">
        <w:rPr>
          <w:b/>
          <w:bCs/>
        </w:rPr>
        <w:t>3205.</w:t>
      </w:r>
      <w:r w:rsidR="00874E9A">
        <w:rPr>
          <w:b/>
          <w:bCs/>
        </w:rPr>
        <w:t xml:space="preserve">  </w:t>
      </w:r>
      <w:r w:rsidRPr="00940BED">
        <w:t>(</w:t>
      </w:r>
      <w:proofErr w:type="gramEnd"/>
      <w:r w:rsidRPr="00940BED">
        <w:t>a) An officer or employee of a local agency shall not, directly or indirectly, solicit a political contribution from an officer or employee of that agency, or from a person on an employment list of that agency, with knowledge that the person from whom the contribution is solicited is an officer or employee of that agency.</w:t>
      </w:r>
    </w:p>
    <w:p w14:paraId="3044E502" w14:textId="77777777" w:rsidR="00940BED" w:rsidRPr="00940BED" w:rsidRDefault="00940BED" w:rsidP="00940BED">
      <w:pPr>
        <w:suppressAutoHyphens w:val="0"/>
        <w:spacing w:after="160" w:line="259" w:lineRule="auto"/>
      </w:pPr>
      <w:r w:rsidRPr="00940BED">
        <w:t>(b) A candidate for elective office of a local agency shall not, directly or indirectly, solicit a political contribution from an officer or employee of that agency, or from a person on an employment list of that agency, with knowledge that the person from whom the contribution is solicited is an officer or employee of that agency.</w:t>
      </w:r>
    </w:p>
    <w:p w14:paraId="5E12485B" w14:textId="77777777" w:rsidR="00940BED" w:rsidRPr="00940BED" w:rsidRDefault="00940BED" w:rsidP="00940BED">
      <w:pPr>
        <w:suppressAutoHyphens w:val="0"/>
        <w:spacing w:after="160" w:line="259" w:lineRule="auto"/>
      </w:pPr>
      <w:r w:rsidRPr="00940BED">
        <w:t>(c) This section shall not prohibit an officer or employee of a local agency, or a candidate for elective office in a local agency, from requesting political contributions from officers or employees of that agency if the solicitation is part of a solicitation made to a significant segment of the public which may include officers or employees of that local agency.</w:t>
      </w:r>
    </w:p>
    <w:p w14:paraId="7E6EA199" w14:textId="77777777" w:rsidR="00940BED" w:rsidRPr="00940BED" w:rsidRDefault="00940BED" w:rsidP="00940BED">
      <w:pPr>
        <w:suppressAutoHyphens w:val="0"/>
        <w:spacing w:after="160" w:line="259" w:lineRule="auto"/>
      </w:pPr>
      <w:r w:rsidRPr="00940BED">
        <w:t>(d) Violation of this section is punishable as a misdemeanor. The district attorney shall have all authority to prosecute under this section.</w:t>
      </w:r>
    </w:p>
    <w:p w14:paraId="753A62EA" w14:textId="77777777" w:rsidR="00940BED" w:rsidRPr="00940BED" w:rsidRDefault="00940BED" w:rsidP="00940BED">
      <w:pPr>
        <w:suppressAutoHyphens w:val="0"/>
        <w:spacing w:after="160" w:line="259" w:lineRule="auto"/>
      </w:pPr>
      <w:r w:rsidRPr="00940BED">
        <w:t>(e) For purposes of this section, the term “contribution” shall have the same meaning as defined in Section 82015.</w:t>
      </w:r>
    </w:p>
    <w:p w14:paraId="0F31ECA7" w14:textId="3239A1F0" w:rsidR="00940BED" w:rsidRDefault="00940BED" w:rsidP="00940BED">
      <w:pPr>
        <w:suppressAutoHyphens w:val="0"/>
        <w:spacing w:after="160" w:line="259" w:lineRule="auto"/>
      </w:pPr>
      <w:r w:rsidRPr="00940BED">
        <w:rPr>
          <w:b/>
          <w:bCs/>
        </w:rPr>
        <w:t>320</w:t>
      </w:r>
      <w:r>
        <w:rPr>
          <w:b/>
          <w:bCs/>
        </w:rPr>
        <w:t>6</w:t>
      </w:r>
      <w:proofErr w:type="gramStart"/>
      <w:r w:rsidRPr="00940BED">
        <w:rPr>
          <w:b/>
          <w:bCs/>
        </w:rPr>
        <w:t>.  </w:t>
      </w:r>
      <w:r w:rsidRPr="00940BED">
        <w:t>No</w:t>
      </w:r>
      <w:proofErr w:type="gramEnd"/>
      <w:r w:rsidRPr="00940BED">
        <w:t xml:space="preserve"> officer or employee of a local agency shall participate in political activities of any kind while in uniform.</w:t>
      </w:r>
    </w:p>
    <w:p w14:paraId="6C58B175" w14:textId="68064FE6" w:rsidR="00940BED" w:rsidRPr="00940BED" w:rsidRDefault="00874E9A" w:rsidP="00940BED">
      <w:pPr>
        <w:suppressAutoHyphens w:val="0"/>
        <w:spacing w:after="160" w:line="259" w:lineRule="auto"/>
      </w:pPr>
      <w:r>
        <w:rPr>
          <w:b/>
          <w:bCs/>
        </w:rPr>
        <w:t>3207</w:t>
      </w:r>
      <w:proofErr w:type="gramStart"/>
      <w:r>
        <w:rPr>
          <w:b/>
          <w:bCs/>
        </w:rPr>
        <w:t>.</w:t>
      </w:r>
      <w:r w:rsidR="00940BED" w:rsidRPr="00940BED">
        <w:rPr>
          <w:b/>
          <w:bCs/>
        </w:rPr>
        <w:t>  </w:t>
      </w:r>
      <w:r w:rsidR="00940BED" w:rsidRPr="00940BED">
        <w:t>Any</w:t>
      </w:r>
      <w:proofErr w:type="gramEnd"/>
      <w:r w:rsidR="00940BED" w:rsidRPr="00940BED">
        <w:t xml:space="preserve"> city, county, or city and county charter or, in the absence of a charter provision, the governing body of any local agency and any agency not subject to Section 19251 by establishing rules and regulations, may prohibit or otherwise restrict the following:</w:t>
      </w:r>
    </w:p>
    <w:p w14:paraId="219CC0BA" w14:textId="77777777" w:rsidR="00940BED" w:rsidRPr="00940BED" w:rsidRDefault="00940BED" w:rsidP="00940BED">
      <w:pPr>
        <w:suppressAutoHyphens w:val="0"/>
        <w:spacing w:after="160" w:line="259" w:lineRule="auto"/>
      </w:pPr>
      <w:r w:rsidRPr="00940BED">
        <w:t>(a) Officers and employees engaging in political activity during working hours.</w:t>
      </w:r>
    </w:p>
    <w:p w14:paraId="159A76B7" w14:textId="77777777" w:rsidR="00940BED" w:rsidRPr="00940BED" w:rsidRDefault="00940BED" w:rsidP="00940BED">
      <w:pPr>
        <w:suppressAutoHyphens w:val="0"/>
        <w:spacing w:after="160" w:line="259" w:lineRule="auto"/>
      </w:pPr>
      <w:r w:rsidRPr="00940BED">
        <w:t>(b) Political activities on the premises of the local agency.</w:t>
      </w:r>
    </w:p>
    <w:p w14:paraId="30A5A2AE" w14:textId="553410FB" w:rsidR="00940BED" w:rsidRPr="00940BED" w:rsidRDefault="00874E9A" w:rsidP="00940BED">
      <w:pPr>
        <w:suppressAutoHyphens w:val="0"/>
        <w:spacing w:after="160" w:line="259" w:lineRule="auto"/>
      </w:pPr>
      <w:r>
        <w:rPr>
          <w:b/>
          <w:bCs/>
          <w:i/>
          <w:iCs/>
        </w:rPr>
        <w:t>3208</w:t>
      </w:r>
      <w:proofErr w:type="gramStart"/>
      <w:r>
        <w:rPr>
          <w:b/>
          <w:bCs/>
          <w:i/>
          <w:iCs/>
        </w:rPr>
        <w:t xml:space="preserve">.  </w:t>
      </w:r>
      <w:r w:rsidRPr="00874E9A">
        <w:t>E</w:t>
      </w:r>
      <w:r w:rsidR="00940BED" w:rsidRPr="00940BED">
        <w:t>xcept</w:t>
      </w:r>
      <w:proofErr w:type="gramEnd"/>
      <w:r w:rsidR="00940BED" w:rsidRPr="00940BED">
        <w:t xml:space="preserve"> as provided in Section 19990, the limitations set forth in this chapter shall be the only restrictions on the political activities of state employees.</w:t>
      </w:r>
    </w:p>
    <w:p w14:paraId="5D5EB6F0" w14:textId="497C52A3" w:rsidR="00940BED" w:rsidRPr="00940BED" w:rsidRDefault="00874E9A" w:rsidP="00940BED">
      <w:pPr>
        <w:suppressAutoHyphens w:val="0"/>
        <w:spacing w:after="160" w:line="259" w:lineRule="auto"/>
        <w:rPr>
          <w:b/>
          <w:bCs/>
        </w:rPr>
      </w:pPr>
      <w:r>
        <w:rPr>
          <w:b/>
          <w:bCs/>
        </w:rPr>
        <w:lastRenderedPageBreak/>
        <w:t xml:space="preserve">3209.  </w:t>
      </w:r>
      <w:r w:rsidR="00940BED" w:rsidRPr="00940BED">
        <w:t>Nothing in this chapter prevents an officer or employee of a state or local agency from soliciting or receiving political funds or contributions to promote the passage or defeat of a ballot measure which would affect the rate of pay, hours of work, retirement, civil service, or other working conditions of officers or employees of such state or local agency, except that a state or local agency may prohibit or limit such activities by its employees during their working hours and may prohibit or limit entry into governmental offices for such purposes during working hours.</w:t>
      </w:r>
    </w:p>
    <w:p w14:paraId="34313885" w14:textId="5C91A269" w:rsidR="00874E9A" w:rsidRDefault="00874E9A" w:rsidP="00874E9A">
      <w:pPr>
        <w:suppressAutoHyphens w:val="0"/>
        <w:spacing w:after="160" w:line="259" w:lineRule="auto"/>
        <w:rPr>
          <w:b/>
          <w:bCs/>
        </w:rPr>
      </w:pPr>
      <w:r w:rsidRPr="00B3797C">
        <w:rPr>
          <w:b/>
          <w:bCs/>
        </w:rPr>
        <w:t>California Government Code section</w:t>
      </w:r>
      <w:r>
        <w:rPr>
          <w:b/>
          <w:bCs/>
        </w:rPr>
        <w:t>s 8314</w:t>
      </w:r>
    </w:p>
    <w:p w14:paraId="661D9580" w14:textId="7098E25F" w:rsidR="00874E9A" w:rsidRPr="00874E9A" w:rsidRDefault="00874E9A" w:rsidP="00874E9A">
      <w:pPr>
        <w:suppressAutoHyphens w:val="0"/>
        <w:spacing w:after="160" w:line="259" w:lineRule="auto"/>
      </w:pPr>
      <w:r w:rsidRPr="00874E9A">
        <w:t>(a) It is unlawful for any elected state or local officer, including any state or local appointee, employee, or consultant, to use or permit others to use public resources for a campaign activity, or personal or other purposes which are not authorized by law.</w:t>
      </w:r>
    </w:p>
    <w:p w14:paraId="17FD4E82" w14:textId="77777777" w:rsidR="00874E9A" w:rsidRPr="00874E9A" w:rsidRDefault="00874E9A" w:rsidP="00874E9A">
      <w:pPr>
        <w:suppressAutoHyphens w:val="0"/>
        <w:spacing w:after="160" w:line="259" w:lineRule="auto"/>
      </w:pPr>
      <w:r w:rsidRPr="00874E9A">
        <w:t>(b) For purposes of this section:</w:t>
      </w:r>
    </w:p>
    <w:p w14:paraId="6BB98021" w14:textId="77777777" w:rsidR="00874E9A" w:rsidRPr="00874E9A" w:rsidRDefault="00874E9A" w:rsidP="00874E9A">
      <w:pPr>
        <w:suppressAutoHyphens w:val="0"/>
        <w:spacing w:after="160" w:line="259" w:lineRule="auto"/>
      </w:pPr>
      <w:r w:rsidRPr="00874E9A">
        <w:t>(1) “Personal purpose” means those activities the purpose of which is for personal enjoyment, private gain or advantage, or an outside endeavor not related to state business. “Personal purpose” does not include the incidental and minimal use of public resources, such as equipment or office space, for personal purposes, including an occasional telephone call.</w:t>
      </w:r>
    </w:p>
    <w:p w14:paraId="467566F4" w14:textId="77777777" w:rsidR="00874E9A" w:rsidRPr="00874E9A" w:rsidRDefault="00874E9A" w:rsidP="00874E9A">
      <w:pPr>
        <w:suppressAutoHyphens w:val="0"/>
        <w:spacing w:after="160" w:line="259" w:lineRule="auto"/>
      </w:pPr>
      <w:r w:rsidRPr="00874E9A">
        <w:t>(2) “Campaign activity” means an activity constituting a contribution as defined in Section 82015 or an expenditure as defined in Section 82025. “Campaign activity” does not include the incidental and minimal use of public resources, such as equipment or office space, for campaign purposes, including the referral of unsolicited political mail, telephone calls, and visitors to private political entities.</w:t>
      </w:r>
    </w:p>
    <w:p w14:paraId="20FB66F3" w14:textId="77777777" w:rsidR="00874E9A" w:rsidRPr="00874E9A" w:rsidRDefault="00874E9A" w:rsidP="00874E9A">
      <w:pPr>
        <w:suppressAutoHyphens w:val="0"/>
        <w:spacing w:after="160" w:line="259" w:lineRule="auto"/>
      </w:pPr>
      <w:r w:rsidRPr="00874E9A">
        <w:t>(3) “Public resources” means any property or asset owned by the state or any local agency, including, but not limited to, land, buildings, facilities, funds, equipment, supplies, telephones, computers, vehicles, travel, and state-compensated time.</w:t>
      </w:r>
    </w:p>
    <w:p w14:paraId="67A9369E" w14:textId="77777777" w:rsidR="00874E9A" w:rsidRPr="00874E9A" w:rsidRDefault="00874E9A" w:rsidP="00874E9A">
      <w:pPr>
        <w:suppressAutoHyphens w:val="0"/>
        <w:spacing w:after="160" w:line="259" w:lineRule="auto"/>
      </w:pPr>
      <w:r w:rsidRPr="00874E9A">
        <w:t>(4) “Use” means a use of public resources which is substantial enough to result in a gain or advantage to the user or a loss to the state or any local agency for which a monetary value may be estimated.</w:t>
      </w:r>
    </w:p>
    <w:p w14:paraId="61A12A08" w14:textId="77777777" w:rsidR="00874E9A" w:rsidRPr="00874E9A" w:rsidRDefault="00874E9A" w:rsidP="00874E9A">
      <w:pPr>
        <w:suppressAutoHyphens w:val="0"/>
        <w:spacing w:after="160" w:line="259" w:lineRule="auto"/>
      </w:pPr>
      <w:r w:rsidRPr="00874E9A">
        <w:t xml:space="preserve">(c) (1) Any person who intentionally or negligently violates this section is liable for a civil penalty not to exceed one thousand dollars ($1,000) for each day on which a violation occurs, plus three times the value of the unlawful use of public resources. The penalty shall be assessed and recovered in a civil action brought in the name of the people of the State of California by the Attorney General or by any district attorney or any city attorney of a city having a population </w:t>
      </w:r>
      <w:proofErr w:type="gramStart"/>
      <w:r w:rsidRPr="00874E9A">
        <w:t>in excess of</w:t>
      </w:r>
      <w:proofErr w:type="gramEnd"/>
      <w:r w:rsidRPr="00874E9A">
        <w:t xml:space="preserve"> 750,000. If two or more </w:t>
      </w:r>
      <w:proofErr w:type="gramStart"/>
      <w:r w:rsidRPr="00874E9A">
        <w:t>persons</w:t>
      </w:r>
      <w:proofErr w:type="gramEnd"/>
      <w:r w:rsidRPr="00874E9A">
        <w:t xml:space="preserve"> are responsible for any violation, they shall be jointly and severally liable for the penalty.</w:t>
      </w:r>
    </w:p>
    <w:p w14:paraId="7ED65E8D" w14:textId="77777777" w:rsidR="00874E9A" w:rsidRPr="00874E9A" w:rsidRDefault="00874E9A" w:rsidP="00874E9A">
      <w:pPr>
        <w:suppressAutoHyphens w:val="0"/>
        <w:spacing w:after="160" w:line="259" w:lineRule="auto"/>
      </w:pPr>
      <w:r w:rsidRPr="00874E9A">
        <w:t xml:space="preserve">(2) If the action is brought by the Attorney General, the </w:t>
      </w:r>
      <w:proofErr w:type="gramStart"/>
      <w:r w:rsidRPr="00874E9A">
        <w:t>moneys</w:t>
      </w:r>
      <w:proofErr w:type="gramEnd"/>
      <w:r w:rsidRPr="00874E9A">
        <w:t xml:space="preserve"> recovered shall be paid into the General Fund. If the action is brought by a district attorney, the </w:t>
      </w:r>
      <w:proofErr w:type="gramStart"/>
      <w:r w:rsidRPr="00874E9A">
        <w:t>moneys</w:t>
      </w:r>
      <w:proofErr w:type="gramEnd"/>
      <w:r w:rsidRPr="00874E9A">
        <w:t xml:space="preserve"> recovered shall be paid to the treasurer of the county in which the judgment was entered. If the action is brought by a city attorney, the </w:t>
      </w:r>
      <w:proofErr w:type="gramStart"/>
      <w:r w:rsidRPr="00874E9A">
        <w:t>moneys</w:t>
      </w:r>
      <w:proofErr w:type="gramEnd"/>
      <w:r w:rsidRPr="00874E9A">
        <w:t xml:space="preserve"> recovered shall be paid to the treasurer of that city.</w:t>
      </w:r>
    </w:p>
    <w:p w14:paraId="00F64BC6" w14:textId="77777777" w:rsidR="00874E9A" w:rsidRPr="00874E9A" w:rsidRDefault="00874E9A" w:rsidP="00874E9A">
      <w:pPr>
        <w:suppressAutoHyphens w:val="0"/>
        <w:spacing w:after="160" w:line="259" w:lineRule="auto"/>
      </w:pPr>
      <w:r w:rsidRPr="00874E9A">
        <w:t xml:space="preserve">(3) No civil action alleging a violation of this section may </w:t>
      </w:r>
      <w:proofErr w:type="gramStart"/>
      <w:r w:rsidRPr="00874E9A">
        <w:t>be commenced</w:t>
      </w:r>
      <w:proofErr w:type="gramEnd"/>
      <w:r w:rsidRPr="00874E9A">
        <w:t xml:space="preserve"> more than four years after the date the alleged violation occurred.</w:t>
      </w:r>
    </w:p>
    <w:p w14:paraId="03C5AAD9" w14:textId="77777777" w:rsidR="00874E9A" w:rsidRPr="00874E9A" w:rsidRDefault="00874E9A" w:rsidP="00874E9A">
      <w:pPr>
        <w:suppressAutoHyphens w:val="0"/>
        <w:spacing w:after="160" w:line="259" w:lineRule="auto"/>
      </w:pPr>
      <w:r w:rsidRPr="00874E9A">
        <w:t xml:space="preserve">(d) Nothing in this section shall prohibit the use of public resources for providing information to the public about the possible effects of any bond issue or other ballot measure on state </w:t>
      </w:r>
      <w:r w:rsidRPr="00874E9A">
        <w:lastRenderedPageBreak/>
        <w:t>activities, operations, or policies, provided that (1) the informational activities are otherwise authorized by the constitution or laws of this state, and (2) the information provided constitutes a fair and impartial presentation of relevant facts to aid the electorate in reaching an informed judgment regarding the bond issue or ballot measure.</w:t>
      </w:r>
    </w:p>
    <w:p w14:paraId="5137F7FC" w14:textId="77777777" w:rsidR="00874E9A" w:rsidRPr="00874E9A" w:rsidRDefault="00874E9A" w:rsidP="00874E9A">
      <w:pPr>
        <w:suppressAutoHyphens w:val="0"/>
        <w:spacing w:after="160" w:line="259" w:lineRule="auto"/>
      </w:pPr>
      <w:r w:rsidRPr="00874E9A">
        <w:t>(e) The incidental and minimal use of public resources by an elected state or local officer, including any state or local appointee, employee, or consultant, pursuant to this section shall not be subject to prosecution under Section 424 of the Penal Code.</w:t>
      </w:r>
    </w:p>
    <w:p w14:paraId="42CBC4C9" w14:textId="77777777" w:rsidR="00ED5909" w:rsidRDefault="00ED5909" w:rsidP="00B3797C">
      <w:pPr>
        <w:pStyle w:val="Normal0"/>
        <w:rPr>
          <w:b/>
          <w:bCs/>
        </w:rPr>
      </w:pPr>
    </w:p>
    <w:p w14:paraId="18FE379B" w14:textId="75330ECD" w:rsidR="00B3797C" w:rsidRDefault="00B3797C" w:rsidP="00B3797C">
      <w:pPr>
        <w:pStyle w:val="Normal0"/>
        <w:rPr>
          <w:b/>
          <w:bCs/>
        </w:rPr>
      </w:pPr>
      <w:r w:rsidRPr="00B3797C">
        <w:rPr>
          <w:b/>
          <w:bCs/>
        </w:rPr>
        <w:t>California Government Code section 54964</w:t>
      </w:r>
    </w:p>
    <w:p w14:paraId="3178DEDF" w14:textId="77777777" w:rsidR="00B3797C" w:rsidRPr="00B3797C" w:rsidRDefault="00B3797C" w:rsidP="00B3797C">
      <w:pPr>
        <w:pStyle w:val="Normal0"/>
        <w:rPr>
          <w:b/>
          <w:bCs/>
        </w:rPr>
      </w:pPr>
    </w:p>
    <w:p w14:paraId="57A67C82" w14:textId="0B4CB667" w:rsidR="00B3797C" w:rsidRPr="00B3797C" w:rsidRDefault="00B3797C" w:rsidP="00B3797C">
      <w:pPr>
        <w:pStyle w:val="Normal0"/>
      </w:pPr>
      <w:r w:rsidRPr="00B3797C">
        <w:t>(a) An officer, employee, or consultant of a local agency may not expend or authorize the expenditure of any of the funds of the local agency to support or oppose the approval or rejection of a ballot measure, or the election or defeat of a candidate, by the voters.</w:t>
      </w:r>
    </w:p>
    <w:p w14:paraId="29035DD8" w14:textId="77777777" w:rsidR="00B3797C" w:rsidRPr="00B3797C" w:rsidRDefault="00B3797C" w:rsidP="00B3797C">
      <w:pPr>
        <w:pStyle w:val="Normal0"/>
      </w:pPr>
      <w:r w:rsidRPr="00B3797C">
        <w:t>(b) As used in this section the following terms have the following meanings:</w:t>
      </w:r>
    </w:p>
    <w:p w14:paraId="0134006A" w14:textId="77777777" w:rsidR="00B3797C" w:rsidRPr="00B3797C" w:rsidRDefault="00B3797C" w:rsidP="00B3797C">
      <w:pPr>
        <w:pStyle w:val="Normal0"/>
      </w:pPr>
      <w:r w:rsidRPr="00B3797C">
        <w:t>(1) “Ballot measure” means an initiative, referendum, or recall measure certified to appear on a regular or special election ballot of the local agency, or other measure submitted to the voters by the governing body at a regular or special election of the local agency.</w:t>
      </w:r>
    </w:p>
    <w:p w14:paraId="430086EC" w14:textId="77777777" w:rsidR="00B3797C" w:rsidRPr="00B3797C" w:rsidRDefault="00B3797C" w:rsidP="00B3797C">
      <w:pPr>
        <w:pStyle w:val="Normal0"/>
      </w:pPr>
      <w:r w:rsidRPr="00B3797C">
        <w:t>(2) “Candidate” means an individual who has qualified to have his or her name listed on the ballot, or who has qualified to have write-in votes on his or her behalf counted by elections officials, for nomination or election to an elective office at any regular or special primary or general election of the local agency, and includes any officeholder who is the subject of a recall election.</w:t>
      </w:r>
    </w:p>
    <w:p w14:paraId="0644F038" w14:textId="77777777" w:rsidR="00B3797C" w:rsidRPr="00B3797C" w:rsidRDefault="00B3797C" w:rsidP="00B3797C">
      <w:pPr>
        <w:pStyle w:val="Normal0"/>
      </w:pPr>
      <w:r w:rsidRPr="00B3797C">
        <w:t>(3) “Expenditure” means a payment of local agency funds that is used for communications that expressly advocate the approval or rejection of a clearly identified ballot measure, or the election or defeat of a clearly identified candidate, by the voters. “Expenditure” shall not include membership dues paid by the local agency to a professional association.</w:t>
      </w:r>
    </w:p>
    <w:p w14:paraId="1DC0432D" w14:textId="77777777" w:rsidR="00B3797C" w:rsidRPr="00B3797C" w:rsidRDefault="00B3797C" w:rsidP="00B3797C">
      <w:pPr>
        <w:pStyle w:val="Normal0"/>
      </w:pPr>
      <w:r w:rsidRPr="00B3797C">
        <w:t>(4) “Local agency” has the same meaning as defined in Section 54951, but does not include a county superintendent of schools, an elementary, high, or unified school district, or a community college district.</w:t>
      </w:r>
    </w:p>
    <w:p w14:paraId="73DDDCFA" w14:textId="77777777" w:rsidR="00B3797C" w:rsidRPr="00B3797C" w:rsidRDefault="00B3797C" w:rsidP="00B3797C">
      <w:pPr>
        <w:pStyle w:val="Normal0"/>
      </w:pPr>
      <w:r w:rsidRPr="00B3797C">
        <w:t>(c) This section does not prohibit the expenditure of local agency funds to provide information to the public about the possible effects of a ballot measure on the activities, operations, or policies of the local agency, if both of the following conditions are met:</w:t>
      </w:r>
    </w:p>
    <w:p w14:paraId="2173558A" w14:textId="77777777" w:rsidR="00B3797C" w:rsidRPr="00B3797C" w:rsidRDefault="00B3797C" w:rsidP="00B3797C">
      <w:pPr>
        <w:pStyle w:val="Normal0"/>
      </w:pPr>
      <w:r w:rsidRPr="00B3797C">
        <w:t>(1</w:t>
      </w:r>
      <w:proofErr w:type="gramStart"/>
      <w:r w:rsidRPr="00B3797C">
        <w:t>) The informational</w:t>
      </w:r>
      <w:proofErr w:type="gramEnd"/>
      <w:r w:rsidRPr="00B3797C">
        <w:t xml:space="preserve"> activities are not otherwise prohibited by the Constitution or laws of this state.</w:t>
      </w:r>
    </w:p>
    <w:p w14:paraId="60A54634" w14:textId="77777777" w:rsidR="00B3797C" w:rsidRPr="00B3797C" w:rsidRDefault="00B3797C" w:rsidP="00B3797C">
      <w:pPr>
        <w:pStyle w:val="Normal0"/>
      </w:pPr>
      <w:r w:rsidRPr="00B3797C">
        <w:t>(2) The information provided constitutes an accurate, fair, and impartial presentation of relevant facts to aid the voters in reaching an informed judgment regarding the ballot measure.</w:t>
      </w:r>
    </w:p>
    <w:p w14:paraId="3F832623" w14:textId="77777777" w:rsidR="00B3797C" w:rsidRPr="00B3797C" w:rsidRDefault="00B3797C" w:rsidP="00B3797C">
      <w:pPr>
        <w:pStyle w:val="Normal0"/>
      </w:pPr>
      <w:r w:rsidRPr="00B3797C">
        <w:t>(d) This section does not apply to the political activities of school officers and employees of a county superintendent of schools, an elementary, high, or unified school district, or a community college district that are regulated by Article 2 (commencing with Section 7050) of Chapter 1 of Part 5 of the Education Code.</w:t>
      </w:r>
    </w:p>
    <w:p w14:paraId="0D98CD9D" w14:textId="77777777" w:rsidR="00B3797C" w:rsidRPr="00B3797C" w:rsidRDefault="00B3797C" w:rsidP="00B3797C">
      <w:pPr>
        <w:pStyle w:val="Normal0"/>
      </w:pPr>
    </w:p>
    <w:p w14:paraId="38E0FBDE" w14:textId="77777777" w:rsidR="00740D42" w:rsidRPr="00443C38" w:rsidRDefault="00740D42" w:rsidP="00B3797C">
      <w:pPr>
        <w:pStyle w:val="Normal0"/>
      </w:pPr>
    </w:p>
    <w:sectPr w:rsidR="00740D42" w:rsidRPr="00443C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F0A8" w14:textId="77777777" w:rsidR="002A465B" w:rsidRDefault="002A465B" w:rsidP="00FC3907">
      <w:r>
        <w:separator/>
      </w:r>
    </w:p>
  </w:endnote>
  <w:endnote w:type="continuationSeparator" w:id="0">
    <w:p w14:paraId="4C9FDDBB" w14:textId="77777777" w:rsidR="002A465B" w:rsidRDefault="002A465B"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708B" w14:textId="77777777" w:rsidR="00BE03B8" w:rsidRDefault="00BE0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02B" w14:textId="77777777" w:rsidR="00D213AF" w:rsidRDefault="00D213AF">
    <w:pPr>
      <w:pStyle w:val="Footer"/>
    </w:pPr>
  </w:p>
  <w:p w14:paraId="267A12BB" w14:textId="23A3AFB5" w:rsidR="00BE03B8" w:rsidRPr="00D213AF" w:rsidRDefault="00D213AF" w:rsidP="00D213AF">
    <w:pPr>
      <w:pStyle w:val="Footer"/>
      <w:jc w:val="right"/>
    </w:pPr>
    <w:r w:rsidRPr="00D213AF">
      <w:rPr>
        <w:noProof/>
        <w:spacing w:val="-2"/>
        <w:sz w:val="16"/>
      </w:rPr>
      <w:t>22743783.1</w:t>
    </w:r>
    <w:r w:rsidRPr="00D213A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EC2C" w14:textId="77777777" w:rsidR="00BE03B8" w:rsidRDefault="00BE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1463" w14:textId="77777777" w:rsidR="002A465B" w:rsidRDefault="002A465B" w:rsidP="00FC3907">
      <w:r>
        <w:separator/>
      </w:r>
    </w:p>
  </w:footnote>
  <w:footnote w:type="continuationSeparator" w:id="0">
    <w:p w14:paraId="1E476FF5" w14:textId="77777777" w:rsidR="002A465B" w:rsidRDefault="002A465B" w:rsidP="00F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9F02" w14:textId="77777777" w:rsidR="00BE03B8" w:rsidRDefault="00BE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B1CF" w14:textId="77777777" w:rsidR="00BE03B8" w:rsidRDefault="00BE0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5D0" w14:textId="77777777" w:rsidR="00BE03B8" w:rsidRDefault="00BE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28A217AB"/>
    <w:multiLevelType w:val="hybridMultilevel"/>
    <w:tmpl w:val="628C1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E7F47"/>
    <w:multiLevelType w:val="hybridMultilevel"/>
    <w:tmpl w:val="12C44E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6D75979"/>
    <w:multiLevelType w:val="hybridMultilevel"/>
    <w:tmpl w:val="12C44E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82331EA"/>
    <w:multiLevelType w:val="hybridMultilevel"/>
    <w:tmpl w:val="58DE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0280A"/>
    <w:multiLevelType w:val="hybridMultilevel"/>
    <w:tmpl w:val="12C44E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F184B5D"/>
    <w:multiLevelType w:val="hybridMultilevel"/>
    <w:tmpl w:val="12C44E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FC924F5"/>
    <w:multiLevelType w:val="hybridMultilevel"/>
    <w:tmpl w:val="12C44E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8253189">
    <w:abstractNumId w:val="6"/>
  </w:num>
  <w:num w:numId="2" w16cid:durableId="1060130704">
    <w:abstractNumId w:val="4"/>
  </w:num>
  <w:num w:numId="3" w16cid:durableId="1072047457">
    <w:abstractNumId w:val="4"/>
  </w:num>
  <w:num w:numId="4" w16cid:durableId="1378820171">
    <w:abstractNumId w:val="3"/>
  </w:num>
  <w:num w:numId="5" w16cid:durableId="1890729506">
    <w:abstractNumId w:val="3"/>
  </w:num>
  <w:num w:numId="6" w16cid:durableId="1927380272">
    <w:abstractNumId w:val="2"/>
  </w:num>
  <w:num w:numId="7" w16cid:durableId="958680672">
    <w:abstractNumId w:val="2"/>
  </w:num>
  <w:num w:numId="8" w16cid:durableId="1226573275">
    <w:abstractNumId w:val="1"/>
  </w:num>
  <w:num w:numId="9" w16cid:durableId="862473276">
    <w:abstractNumId w:val="1"/>
  </w:num>
  <w:num w:numId="10" w16cid:durableId="1597516877">
    <w:abstractNumId w:val="0"/>
  </w:num>
  <w:num w:numId="11" w16cid:durableId="236674107">
    <w:abstractNumId w:val="0"/>
  </w:num>
  <w:num w:numId="12" w16cid:durableId="716702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782470">
    <w:abstractNumId w:val="5"/>
  </w:num>
  <w:num w:numId="14" w16cid:durableId="1140654809">
    <w:abstractNumId w:val="12"/>
  </w:num>
  <w:num w:numId="15" w16cid:durableId="1056010576">
    <w:abstractNumId w:val="10"/>
  </w:num>
  <w:num w:numId="16" w16cid:durableId="765267994">
    <w:abstractNumId w:val="7"/>
  </w:num>
  <w:num w:numId="17" w16cid:durableId="44570698">
    <w:abstractNumId w:val="11"/>
  </w:num>
  <w:num w:numId="18" w16cid:durableId="968316087">
    <w:abstractNumId w:val="8"/>
  </w:num>
  <w:num w:numId="19" w16cid:durableId="999428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5B"/>
    <w:rsid w:val="000143A2"/>
    <w:rsid w:val="00017254"/>
    <w:rsid w:val="000376CE"/>
    <w:rsid w:val="000379F7"/>
    <w:rsid w:val="00040913"/>
    <w:rsid w:val="000413A0"/>
    <w:rsid w:val="000577C7"/>
    <w:rsid w:val="00083481"/>
    <w:rsid w:val="0008795B"/>
    <w:rsid w:val="00095F9B"/>
    <w:rsid w:val="00096B9C"/>
    <w:rsid w:val="000A132A"/>
    <w:rsid w:val="000B092A"/>
    <w:rsid w:val="000F261A"/>
    <w:rsid w:val="000F30CA"/>
    <w:rsid w:val="000F710F"/>
    <w:rsid w:val="000F7910"/>
    <w:rsid w:val="00123136"/>
    <w:rsid w:val="00137065"/>
    <w:rsid w:val="001479B1"/>
    <w:rsid w:val="00151EC6"/>
    <w:rsid w:val="00156EA7"/>
    <w:rsid w:val="00174788"/>
    <w:rsid w:val="0018025F"/>
    <w:rsid w:val="001C3978"/>
    <w:rsid w:val="001E21B2"/>
    <w:rsid w:val="0020733D"/>
    <w:rsid w:val="00211FB6"/>
    <w:rsid w:val="0021369D"/>
    <w:rsid w:val="00246025"/>
    <w:rsid w:val="00251B85"/>
    <w:rsid w:val="00280B93"/>
    <w:rsid w:val="00282D21"/>
    <w:rsid w:val="00284A5E"/>
    <w:rsid w:val="002A465B"/>
    <w:rsid w:val="002A7657"/>
    <w:rsid w:val="002D6031"/>
    <w:rsid w:val="002F7C67"/>
    <w:rsid w:val="00305489"/>
    <w:rsid w:val="00306B03"/>
    <w:rsid w:val="00316A3D"/>
    <w:rsid w:val="003233D7"/>
    <w:rsid w:val="003234E0"/>
    <w:rsid w:val="0032707C"/>
    <w:rsid w:val="00363573"/>
    <w:rsid w:val="00363AE7"/>
    <w:rsid w:val="00367B06"/>
    <w:rsid w:val="003804C0"/>
    <w:rsid w:val="00385E10"/>
    <w:rsid w:val="003915B0"/>
    <w:rsid w:val="003B6582"/>
    <w:rsid w:val="003C2E71"/>
    <w:rsid w:val="003E6E0C"/>
    <w:rsid w:val="003F7B66"/>
    <w:rsid w:val="00415660"/>
    <w:rsid w:val="00415A69"/>
    <w:rsid w:val="004208FE"/>
    <w:rsid w:val="004347FA"/>
    <w:rsid w:val="00443C38"/>
    <w:rsid w:val="00455739"/>
    <w:rsid w:val="00466333"/>
    <w:rsid w:val="00472B26"/>
    <w:rsid w:val="00490A75"/>
    <w:rsid w:val="004C1EE4"/>
    <w:rsid w:val="004E3582"/>
    <w:rsid w:val="004F53EB"/>
    <w:rsid w:val="005130E3"/>
    <w:rsid w:val="00517B53"/>
    <w:rsid w:val="0052005A"/>
    <w:rsid w:val="005342BD"/>
    <w:rsid w:val="00536354"/>
    <w:rsid w:val="00557E6B"/>
    <w:rsid w:val="005614BB"/>
    <w:rsid w:val="00573A5C"/>
    <w:rsid w:val="005A0A48"/>
    <w:rsid w:val="005A2157"/>
    <w:rsid w:val="005A6BFA"/>
    <w:rsid w:val="005C1564"/>
    <w:rsid w:val="005E06B3"/>
    <w:rsid w:val="005E3F0A"/>
    <w:rsid w:val="005F01CB"/>
    <w:rsid w:val="005F3316"/>
    <w:rsid w:val="0060463A"/>
    <w:rsid w:val="0061672C"/>
    <w:rsid w:val="00621D2B"/>
    <w:rsid w:val="00645006"/>
    <w:rsid w:val="00654576"/>
    <w:rsid w:val="00660AC5"/>
    <w:rsid w:val="00662E7C"/>
    <w:rsid w:val="006728D3"/>
    <w:rsid w:val="00685AAF"/>
    <w:rsid w:val="00695431"/>
    <w:rsid w:val="0069687A"/>
    <w:rsid w:val="006A0245"/>
    <w:rsid w:val="006B088B"/>
    <w:rsid w:val="006B1E98"/>
    <w:rsid w:val="006E544D"/>
    <w:rsid w:val="006E5941"/>
    <w:rsid w:val="006F1C29"/>
    <w:rsid w:val="00700E92"/>
    <w:rsid w:val="00706FF5"/>
    <w:rsid w:val="007217B6"/>
    <w:rsid w:val="0073390E"/>
    <w:rsid w:val="00737933"/>
    <w:rsid w:val="007405D2"/>
    <w:rsid w:val="00740D42"/>
    <w:rsid w:val="007428BA"/>
    <w:rsid w:val="007519A6"/>
    <w:rsid w:val="00752B2D"/>
    <w:rsid w:val="00771E2B"/>
    <w:rsid w:val="00772204"/>
    <w:rsid w:val="00775851"/>
    <w:rsid w:val="00784DE2"/>
    <w:rsid w:val="007A0E9B"/>
    <w:rsid w:val="007A7188"/>
    <w:rsid w:val="007A7F92"/>
    <w:rsid w:val="007D02D3"/>
    <w:rsid w:val="007E4701"/>
    <w:rsid w:val="008039F7"/>
    <w:rsid w:val="008073B2"/>
    <w:rsid w:val="008152CF"/>
    <w:rsid w:val="00817307"/>
    <w:rsid w:val="00830ED8"/>
    <w:rsid w:val="00835AD6"/>
    <w:rsid w:val="00850A44"/>
    <w:rsid w:val="00870BED"/>
    <w:rsid w:val="00874E9A"/>
    <w:rsid w:val="008A0B96"/>
    <w:rsid w:val="008A156E"/>
    <w:rsid w:val="008A2D8F"/>
    <w:rsid w:val="008B0925"/>
    <w:rsid w:val="008B560E"/>
    <w:rsid w:val="008B730B"/>
    <w:rsid w:val="008B7CFF"/>
    <w:rsid w:val="008C60C1"/>
    <w:rsid w:val="008D663E"/>
    <w:rsid w:val="008E1CAE"/>
    <w:rsid w:val="008F0CE2"/>
    <w:rsid w:val="00907FA5"/>
    <w:rsid w:val="00912BAC"/>
    <w:rsid w:val="00923DFB"/>
    <w:rsid w:val="00940BED"/>
    <w:rsid w:val="00940E79"/>
    <w:rsid w:val="009510E8"/>
    <w:rsid w:val="0095534A"/>
    <w:rsid w:val="009775E1"/>
    <w:rsid w:val="009816CA"/>
    <w:rsid w:val="00982B4E"/>
    <w:rsid w:val="009854C4"/>
    <w:rsid w:val="009A1C5C"/>
    <w:rsid w:val="009A42F6"/>
    <w:rsid w:val="009B1678"/>
    <w:rsid w:val="009C4D2A"/>
    <w:rsid w:val="009D427B"/>
    <w:rsid w:val="009D6C26"/>
    <w:rsid w:val="009F2011"/>
    <w:rsid w:val="009F4F41"/>
    <w:rsid w:val="009F694C"/>
    <w:rsid w:val="00A15392"/>
    <w:rsid w:val="00A268EF"/>
    <w:rsid w:val="00A61DAA"/>
    <w:rsid w:val="00A677FF"/>
    <w:rsid w:val="00A7204A"/>
    <w:rsid w:val="00AA589D"/>
    <w:rsid w:val="00AB708D"/>
    <w:rsid w:val="00AC19A3"/>
    <w:rsid w:val="00AC3EDD"/>
    <w:rsid w:val="00AC5141"/>
    <w:rsid w:val="00AC6B50"/>
    <w:rsid w:val="00AE622C"/>
    <w:rsid w:val="00B24778"/>
    <w:rsid w:val="00B2713B"/>
    <w:rsid w:val="00B3442C"/>
    <w:rsid w:val="00B36427"/>
    <w:rsid w:val="00B3797C"/>
    <w:rsid w:val="00B44352"/>
    <w:rsid w:val="00B66BD7"/>
    <w:rsid w:val="00BB2371"/>
    <w:rsid w:val="00BC6D2F"/>
    <w:rsid w:val="00BD65DF"/>
    <w:rsid w:val="00BE03B8"/>
    <w:rsid w:val="00BE44C8"/>
    <w:rsid w:val="00BE5ECB"/>
    <w:rsid w:val="00BF1386"/>
    <w:rsid w:val="00BF44F9"/>
    <w:rsid w:val="00C04F63"/>
    <w:rsid w:val="00C21664"/>
    <w:rsid w:val="00C25368"/>
    <w:rsid w:val="00C33AB4"/>
    <w:rsid w:val="00C42489"/>
    <w:rsid w:val="00C52B06"/>
    <w:rsid w:val="00C71516"/>
    <w:rsid w:val="00C82AB8"/>
    <w:rsid w:val="00CB18D4"/>
    <w:rsid w:val="00CB2D6F"/>
    <w:rsid w:val="00CC11B1"/>
    <w:rsid w:val="00CC2690"/>
    <w:rsid w:val="00CE3549"/>
    <w:rsid w:val="00CE482D"/>
    <w:rsid w:val="00CF4635"/>
    <w:rsid w:val="00CF6EF5"/>
    <w:rsid w:val="00D01C38"/>
    <w:rsid w:val="00D213AF"/>
    <w:rsid w:val="00D2520D"/>
    <w:rsid w:val="00D33F63"/>
    <w:rsid w:val="00D37878"/>
    <w:rsid w:val="00D4493C"/>
    <w:rsid w:val="00D45D7F"/>
    <w:rsid w:val="00D52787"/>
    <w:rsid w:val="00D7233F"/>
    <w:rsid w:val="00D7490B"/>
    <w:rsid w:val="00D82C4F"/>
    <w:rsid w:val="00D85D37"/>
    <w:rsid w:val="00E02A55"/>
    <w:rsid w:val="00E34F37"/>
    <w:rsid w:val="00E60543"/>
    <w:rsid w:val="00E64BE6"/>
    <w:rsid w:val="00E67AB7"/>
    <w:rsid w:val="00E70BB8"/>
    <w:rsid w:val="00E727A4"/>
    <w:rsid w:val="00E81F69"/>
    <w:rsid w:val="00E908E7"/>
    <w:rsid w:val="00E9130E"/>
    <w:rsid w:val="00E917B1"/>
    <w:rsid w:val="00E93287"/>
    <w:rsid w:val="00E97EA2"/>
    <w:rsid w:val="00EA05AE"/>
    <w:rsid w:val="00EA18D7"/>
    <w:rsid w:val="00ED5909"/>
    <w:rsid w:val="00EE1E94"/>
    <w:rsid w:val="00EE49D0"/>
    <w:rsid w:val="00F166D4"/>
    <w:rsid w:val="00F45027"/>
    <w:rsid w:val="00F45D0D"/>
    <w:rsid w:val="00F774CC"/>
    <w:rsid w:val="00F80E45"/>
    <w:rsid w:val="00F91523"/>
    <w:rsid w:val="00F94BBC"/>
    <w:rsid w:val="00F95B5F"/>
    <w:rsid w:val="00FA481C"/>
    <w:rsid w:val="00FB3011"/>
    <w:rsid w:val="00FB3C3D"/>
    <w:rsid w:val="00FB52F8"/>
    <w:rsid w:val="00FC3907"/>
    <w:rsid w:val="00FD60A2"/>
    <w:rsid w:val="00FF1FA4"/>
    <w:rsid w:val="00FF2BD5"/>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771A"/>
  <w15:chartTrackingRefBased/>
  <w15:docId w15:val="{8AC18C89-0219-4F1F-91DE-D5345D92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Arial" w:hAnsi="Arial" w:cs="Arial"/>
    </w:rPr>
  </w:style>
  <w:style w:type="paragraph" w:styleId="Heading1">
    <w:name w:val="heading 1"/>
    <w:basedOn w:val="Normal"/>
    <w:next w:val="Normal"/>
    <w:link w:val="Heading1Char"/>
    <w:uiPriority w:val="9"/>
    <w:qFormat/>
    <w:rsid w:val="002A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6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6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46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46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6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6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6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Arial" w:eastAsia="SimSun" w:hAnsi="Arial" w:cs="Arial"/>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Arial" w:eastAsia="SimSun" w:hAnsi="Arial" w:cs="Arial"/>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styleId="Header">
    <w:name w:val="header"/>
    <w:basedOn w:val="Normal"/>
    <w:link w:val="HeaderChar"/>
    <w:uiPriority w:val="99"/>
    <w:unhideWhenUsed/>
    <w:rsid w:val="00BE03B8"/>
    <w:pPr>
      <w:tabs>
        <w:tab w:val="center" w:pos="4680"/>
        <w:tab w:val="right" w:pos="9360"/>
      </w:tabs>
    </w:pPr>
  </w:style>
  <w:style w:type="character" w:customStyle="1" w:styleId="HeaderChar">
    <w:name w:val="Header Char"/>
    <w:basedOn w:val="DefaultParagraphFont"/>
    <w:link w:val="Header"/>
    <w:uiPriority w:val="99"/>
    <w:rsid w:val="00BE03B8"/>
    <w:rPr>
      <w:rFonts w:ascii="Times New Roman" w:hAnsi="Times New Roman" w:cs="Times New Roman"/>
      <w:sz w:val="24"/>
    </w:rPr>
  </w:style>
  <w:style w:type="paragraph" w:styleId="Footer">
    <w:name w:val="footer"/>
    <w:basedOn w:val="Normal"/>
    <w:link w:val="FooterChar"/>
    <w:uiPriority w:val="99"/>
    <w:unhideWhenUsed/>
    <w:rsid w:val="00BE03B8"/>
    <w:pPr>
      <w:tabs>
        <w:tab w:val="center" w:pos="4680"/>
        <w:tab w:val="right" w:pos="9360"/>
      </w:tabs>
    </w:pPr>
  </w:style>
  <w:style w:type="character" w:customStyle="1" w:styleId="FooterChar">
    <w:name w:val="Footer Char"/>
    <w:basedOn w:val="DefaultParagraphFont"/>
    <w:link w:val="Footer"/>
    <w:uiPriority w:val="99"/>
    <w:rsid w:val="00BE03B8"/>
    <w:rPr>
      <w:rFonts w:ascii="Times New Roman" w:hAnsi="Times New Roman" w:cs="Times New Roman"/>
      <w:sz w:val="24"/>
    </w:rPr>
  </w:style>
  <w:style w:type="character" w:customStyle="1" w:styleId="Heading1Char">
    <w:name w:val="Heading 1 Char"/>
    <w:basedOn w:val="DefaultParagraphFont"/>
    <w:link w:val="Heading1"/>
    <w:uiPriority w:val="9"/>
    <w:rsid w:val="002A4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65B"/>
    <w:rPr>
      <w:rFonts w:eastAsiaTheme="majorEastAsia" w:cstheme="majorBidi"/>
      <w:color w:val="272727" w:themeColor="text1" w:themeTint="D8"/>
    </w:rPr>
  </w:style>
  <w:style w:type="paragraph" w:styleId="Title">
    <w:name w:val="Title"/>
    <w:basedOn w:val="Normal"/>
    <w:next w:val="Normal"/>
    <w:link w:val="TitleChar"/>
    <w:uiPriority w:val="10"/>
    <w:qFormat/>
    <w:rsid w:val="002A46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6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6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65B"/>
    <w:rPr>
      <w:rFonts w:ascii="Arial" w:hAnsi="Arial" w:cs="Arial"/>
      <w:i/>
      <w:iCs/>
      <w:color w:val="404040" w:themeColor="text1" w:themeTint="BF"/>
    </w:rPr>
  </w:style>
  <w:style w:type="paragraph" w:styleId="ListParagraph">
    <w:name w:val="List Paragraph"/>
    <w:basedOn w:val="Normal"/>
    <w:uiPriority w:val="34"/>
    <w:qFormat/>
    <w:rsid w:val="002A465B"/>
    <w:pPr>
      <w:ind w:left="720"/>
      <w:contextualSpacing/>
    </w:pPr>
  </w:style>
  <w:style w:type="character" w:styleId="IntenseEmphasis">
    <w:name w:val="Intense Emphasis"/>
    <w:basedOn w:val="DefaultParagraphFont"/>
    <w:uiPriority w:val="21"/>
    <w:qFormat/>
    <w:rsid w:val="002A465B"/>
    <w:rPr>
      <w:i/>
      <w:iCs/>
      <w:color w:val="0F4761" w:themeColor="accent1" w:themeShade="BF"/>
    </w:rPr>
  </w:style>
  <w:style w:type="paragraph" w:styleId="IntenseQuote">
    <w:name w:val="Intense Quote"/>
    <w:basedOn w:val="Normal"/>
    <w:next w:val="Normal"/>
    <w:link w:val="IntenseQuoteChar"/>
    <w:uiPriority w:val="30"/>
    <w:qFormat/>
    <w:rsid w:val="002A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65B"/>
    <w:rPr>
      <w:rFonts w:ascii="Arial" w:hAnsi="Arial" w:cs="Arial"/>
      <w:i/>
      <w:iCs/>
      <w:color w:val="0F4761" w:themeColor="accent1" w:themeShade="BF"/>
    </w:rPr>
  </w:style>
  <w:style w:type="character" w:styleId="IntenseReference">
    <w:name w:val="Intense Reference"/>
    <w:basedOn w:val="DefaultParagraphFont"/>
    <w:uiPriority w:val="32"/>
    <w:qFormat/>
    <w:rsid w:val="002A465B"/>
    <w:rPr>
      <w:b/>
      <w:bCs/>
      <w:smallCaps/>
      <w:color w:val="0F4761" w:themeColor="accent1" w:themeShade="BF"/>
      <w:spacing w:val="5"/>
    </w:rPr>
  </w:style>
  <w:style w:type="character" w:styleId="Hyperlink">
    <w:name w:val="Hyperlink"/>
    <w:basedOn w:val="DefaultParagraphFont"/>
    <w:uiPriority w:val="99"/>
    <w:unhideWhenUsed/>
    <w:rsid w:val="00B3797C"/>
    <w:rPr>
      <w:color w:val="467886" w:themeColor="hyperlink"/>
      <w:u w:val="single"/>
    </w:rPr>
  </w:style>
  <w:style w:type="character" w:styleId="UnresolvedMention">
    <w:name w:val="Unresolved Mention"/>
    <w:basedOn w:val="DefaultParagraphFont"/>
    <w:uiPriority w:val="99"/>
    <w:semiHidden/>
    <w:unhideWhenUsed/>
    <w:rsid w:val="00B3797C"/>
    <w:rPr>
      <w:color w:val="605E5C"/>
      <w:shd w:val="clear" w:color="auto" w:fill="E1DFDD"/>
    </w:rPr>
  </w:style>
  <w:style w:type="character" w:styleId="Emphasis">
    <w:name w:val="Emphasis"/>
    <w:basedOn w:val="DefaultParagraphFont"/>
    <w:uiPriority w:val="20"/>
    <w:qFormat/>
    <w:rsid w:val="00ED5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397">
      <w:bodyDiv w:val="1"/>
      <w:marLeft w:val="0"/>
      <w:marRight w:val="0"/>
      <w:marTop w:val="0"/>
      <w:marBottom w:val="0"/>
      <w:divBdr>
        <w:top w:val="none" w:sz="0" w:space="0" w:color="auto"/>
        <w:left w:val="none" w:sz="0" w:space="0" w:color="auto"/>
        <w:bottom w:val="none" w:sz="0" w:space="0" w:color="auto"/>
        <w:right w:val="none" w:sz="0" w:space="0" w:color="auto"/>
      </w:divBdr>
    </w:div>
    <w:div w:id="149105752">
      <w:bodyDiv w:val="1"/>
      <w:marLeft w:val="0"/>
      <w:marRight w:val="0"/>
      <w:marTop w:val="0"/>
      <w:marBottom w:val="0"/>
      <w:divBdr>
        <w:top w:val="none" w:sz="0" w:space="0" w:color="auto"/>
        <w:left w:val="none" w:sz="0" w:space="0" w:color="auto"/>
        <w:bottom w:val="none" w:sz="0" w:space="0" w:color="auto"/>
        <w:right w:val="none" w:sz="0" w:space="0" w:color="auto"/>
      </w:divBdr>
    </w:div>
    <w:div w:id="497771579">
      <w:bodyDiv w:val="1"/>
      <w:marLeft w:val="0"/>
      <w:marRight w:val="0"/>
      <w:marTop w:val="0"/>
      <w:marBottom w:val="0"/>
      <w:divBdr>
        <w:top w:val="none" w:sz="0" w:space="0" w:color="auto"/>
        <w:left w:val="none" w:sz="0" w:space="0" w:color="auto"/>
        <w:bottom w:val="none" w:sz="0" w:space="0" w:color="auto"/>
        <w:right w:val="none" w:sz="0" w:space="0" w:color="auto"/>
      </w:divBdr>
    </w:div>
    <w:div w:id="678049705">
      <w:bodyDiv w:val="1"/>
      <w:marLeft w:val="0"/>
      <w:marRight w:val="0"/>
      <w:marTop w:val="0"/>
      <w:marBottom w:val="0"/>
      <w:divBdr>
        <w:top w:val="none" w:sz="0" w:space="0" w:color="auto"/>
        <w:left w:val="none" w:sz="0" w:space="0" w:color="auto"/>
        <w:bottom w:val="none" w:sz="0" w:space="0" w:color="auto"/>
        <w:right w:val="none" w:sz="0" w:space="0" w:color="auto"/>
      </w:divBdr>
      <w:divsChild>
        <w:div w:id="1191145588">
          <w:marLeft w:val="0"/>
          <w:marRight w:val="0"/>
          <w:marTop w:val="0"/>
          <w:marBottom w:val="0"/>
          <w:divBdr>
            <w:top w:val="none" w:sz="0" w:space="0" w:color="auto"/>
            <w:left w:val="none" w:sz="0" w:space="0" w:color="auto"/>
            <w:bottom w:val="none" w:sz="0" w:space="0" w:color="auto"/>
            <w:right w:val="none" w:sz="0" w:space="0" w:color="auto"/>
          </w:divBdr>
        </w:div>
        <w:div w:id="1164932299">
          <w:marLeft w:val="0"/>
          <w:marRight w:val="0"/>
          <w:marTop w:val="0"/>
          <w:marBottom w:val="0"/>
          <w:divBdr>
            <w:top w:val="none" w:sz="0" w:space="0" w:color="auto"/>
            <w:left w:val="none" w:sz="0" w:space="0" w:color="auto"/>
            <w:bottom w:val="none" w:sz="0" w:space="0" w:color="auto"/>
            <w:right w:val="none" w:sz="0" w:space="0" w:color="auto"/>
          </w:divBdr>
          <w:divsChild>
            <w:div w:id="8186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0617">
      <w:bodyDiv w:val="1"/>
      <w:marLeft w:val="0"/>
      <w:marRight w:val="0"/>
      <w:marTop w:val="0"/>
      <w:marBottom w:val="0"/>
      <w:divBdr>
        <w:top w:val="none" w:sz="0" w:space="0" w:color="auto"/>
        <w:left w:val="none" w:sz="0" w:space="0" w:color="auto"/>
        <w:bottom w:val="none" w:sz="0" w:space="0" w:color="auto"/>
        <w:right w:val="none" w:sz="0" w:space="0" w:color="auto"/>
      </w:divBdr>
    </w:div>
    <w:div w:id="1182479001">
      <w:bodyDiv w:val="1"/>
      <w:marLeft w:val="0"/>
      <w:marRight w:val="0"/>
      <w:marTop w:val="0"/>
      <w:marBottom w:val="0"/>
      <w:divBdr>
        <w:top w:val="none" w:sz="0" w:space="0" w:color="auto"/>
        <w:left w:val="none" w:sz="0" w:space="0" w:color="auto"/>
        <w:bottom w:val="none" w:sz="0" w:space="0" w:color="auto"/>
        <w:right w:val="none" w:sz="0" w:space="0" w:color="auto"/>
      </w:divBdr>
    </w:div>
    <w:div w:id="1240679091">
      <w:bodyDiv w:val="1"/>
      <w:marLeft w:val="0"/>
      <w:marRight w:val="0"/>
      <w:marTop w:val="0"/>
      <w:marBottom w:val="0"/>
      <w:divBdr>
        <w:top w:val="none" w:sz="0" w:space="0" w:color="auto"/>
        <w:left w:val="none" w:sz="0" w:space="0" w:color="auto"/>
        <w:bottom w:val="none" w:sz="0" w:space="0" w:color="auto"/>
        <w:right w:val="none" w:sz="0" w:space="0" w:color="auto"/>
      </w:divBdr>
    </w:div>
    <w:div w:id="1368916178">
      <w:bodyDiv w:val="1"/>
      <w:marLeft w:val="0"/>
      <w:marRight w:val="0"/>
      <w:marTop w:val="0"/>
      <w:marBottom w:val="0"/>
      <w:divBdr>
        <w:top w:val="none" w:sz="0" w:space="0" w:color="auto"/>
        <w:left w:val="none" w:sz="0" w:space="0" w:color="auto"/>
        <w:bottom w:val="none" w:sz="0" w:space="0" w:color="auto"/>
        <w:right w:val="none" w:sz="0" w:space="0" w:color="auto"/>
      </w:divBdr>
    </w:div>
    <w:div w:id="1482425742">
      <w:bodyDiv w:val="1"/>
      <w:marLeft w:val="0"/>
      <w:marRight w:val="0"/>
      <w:marTop w:val="0"/>
      <w:marBottom w:val="0"/>
      <w:divBdr>
        <w:top w:val="none" w:sz="0" w:space="0" w:color="auto"/>
        <w:left w:val="none" w:sz="0" w:space="0" w:color="auto"/>
        <w:bottom w:val="none" w:sz="0" w:space="0" w:color="auto"/>
        <w:right w:val="none" w:sz="0" w:space="0" w:color="auto"/>
      </w:divBdr>
      <w:divsChild>
        <w:div w:id="16735565">
          <w:marLeft w:val="0"/>
          <w:marRight w:val="0"/>
          <w:marTop w:val="0"/>
          <w:marBottom w:val="0"/>
          <w:divBdr>
            <w:top w:val="none" w:sz="0" w:space="0" w:color="auto"/>
            <w:left w:val="none" w:sz="0" w:space="0" w:color="auto"/>
            <w:bottom w:val="none" w:sz="0" w:space="0" w:color="auto"/>
            <w:right w:val="none" w:sz="0" w:space="0" w:color="auto"/>
          </w:divBdr>
        </w:div>
        <w:div w:id="107555725">
          <w:marLeft w:val="0"/>
          <w:marRight w:val="0"/>
          <w:marTop w:val="0"/>
          <w:marBottom w:val="0"/>
          <w:divBdr>
            <w:top w:val="none" w:sz="0" w:space="0" w:color="auto"/>
            <w:left w:val="none" w:sz="0" w:space="0" w:color="auto"/>
            <w:bottom w:val="none" w:sz="0" w:space="0" w:color="auto"/>
            <w:right w:val="none" w:sz="0" w:space="0" w:color="auto"/>
          </w:divBdr>
          <w:divsChild>
            <w:div w:id="1783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6191">
      <w:bodyDiv w:val="1"/>
      <w:marLeft w:val="0"/>
      <w:marRight w:val="0"/>
      <w:marTop w:val="0"/>
      <w:marBottom w:val="0"/>
      <w:divBdr>
        <w:top w:val="none" w:sz="0" w:space="0" w:color="auto"/>
        <w:left w:val="none" w:sz="0" w:space="0" w:color="auto"/>
        <w:bottom w:val="none" w:sz="0" w:space="0" w:color="auto"/>
        <w:right w:val="none" w:sz="0" w:space="0" w:color="auto"/>
      </w:divBdr>
    </w:div>
    <w:div w:id="2027897655">
      <w:bodyDiv w:val="1"/>
      <w:marLeft w:val="0"/>
      <w:marRight w:val="0"/>
      <w:marTop w:val="0"/>
      <w:marBottom w:val="0"/>
      <w:divBdr>
        <w:top w:val="none" w:sz="0" w:space="0" w:color="auto"/>
        <w:left w:val="none" w:sz="0" w:space="0" w:color="auto"/>
        <w:bottom w:val="none" w:sz="0" w:space="0" w:color="auto"/>
        <w:right w:val="none" w:sz="0" w:space="0" w:color="auto"/>
      </w:divBdr>
    </w:div>
    <w:div w:id="20851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upreme.justia.com/us/439/106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1988</Words>
  <Characters>10541</Characters>
  <Application>Microsoft Office Word</Application>
  <DocSecurity>4</DocSecurity>
  <Lines>195</Lines>
  <Paragraphs>82</Paragraphs>
  <ScaleCrop>false</ScaleCrop>
  <HeadingPairs>
    <vt:vector size="2" baseType="variant">
      <vt:variant>
        <vt:lpstr>Title</vt:lpstr>
      </vt:variant>
      <vt:variant>
        <vt:i4>1</vt:i4>
      </vt:variant>
    </vt:vector>
  </HeadingPairs>
  <TitlesOfParts>
    <vt:vector size="1" baseType="lpstr">
      <vt:lpstr/>
    </vt:vector>
  </TitlesOfParts>
  <Company>Hanson Bridgett LLP</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Vanessa Nuñez</dc:creator>
  <cp:keywords/>
  <cp:lastModifiedBy>Vanessa Nuñez</cp:lastModifiedBy>
  <cp:revision>2</cp:revision>
  <dcterms:created xsi:type="dcterms:W3CDTF">2026-03-16T10:47:00Z</dcterms:created>
  <dcterms:modified xsi:type="dcterms:W3CDTF">2026-03-16T10:47:00Z</dcterms:modified>
</cp:coreProperties>
</file>