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894" w:rsidRDefault="00623894" w:rsidP="00623894">
      <w:pPr>
        <w:spacing w:after="0" w:line="240" w:lineRule="auto"/>
        <w:jc w:val="center"/>
        <w:rPr>
          <w:sz w:val="28"/>
          <w:szCs w:val="28"/>
        </w:rPr>
      </w:pPr>
      <w:r>
        <w:rPr>
          <w:sz w:val="28"/>
          <w:szCs w:val="28"/>
        </w:rPr>
        <w:t>Tr</w:t>
      </w:r>
      <w:r w:rsidR="00C46607">
        <w:rPr>
          <w:sz w:val="28"/>
          <w:szCs w:val="28"/>
        </w:rPr>
        <w:t>ansit Emissions Quantifier Tool</w:t>
      </w:r>
    </w:p>
    <w:p w:rsidR="00623894" w:rsidRDefault="00623894" w:rsidP="00623894">
      <w:pPr>
        <w:spacing w:after="0" w:line="240" w:lineRule="auto"/>
      </w:pPr>
    </w:p>
    <w:p w:rsidR="00623894" w:rsidRPr="00623894" w:rsidRDefault="00623894" w:rsidP="00623894">
      <w:pPr>
        <w:spacing w:after="0" w:line="240" w:lineRule="auto"/>
      </w:pPr>
      <w:r w:rsidRPr="00D2661C">
        <w:rPr>
          <w:b/>
          <w:u w:val="single"/>
        </w:rPr>
        <w:t>Abstract:</w:t>
      </w:r>
      <w:r>
        <w:t xml:space="preserve"> Transit agencies that participate in APTA’s Sustainability Commitment are required to adhere to the base principles.</w:t>
      </w:r>
      <w:r w:rsidR="00316656">
        <w:t xml:space="preserve"> </w:t>
      </w:r>
      <w:r>
        <w:t>The base principles include the monitoring and measuring of criteria air pollutants and carbon emissions from transit agencies.</w:t>
      </w:r>
      <w:r w:rsidR="00316656">
        <w:t xml:space="preserve"> </w:t>
      </w:r>
      <w:r>
        <w:t>Th</w:t>
      </w:r>
      <w:r w:rsidR="00CE0CAF">
        <w:t>e</w:t>
      </w:r>
      <w:r>
        <w:t xml:space="preserve"> </w:t>
      </w:r>
      <w:r w:rsidR="00CE0CAF">
        <w:t>Transit Emissions Quantifier Tool provides APTA Sustainability Commitment Signatories and other interested transit agencies</w:t>
      </w:r>
      <w:r>
        <w:t xml:space="preserve"> with a r</w:t>
      </w:r>
      <w:r w:rsidR="00CE0CAF">
        <w:t>obust</w:t>
      </w:r>
      <w:r>
        <w:t xml:space="preserve"> and consistent calculation for both emissions generated by transit </w:t>
      </w:r>
      <w:r w:rsidR="00CE0CAF">
        <w:t xml:space="preserve">agencies for propulsion </w:t>
      </w:r>
      <w:r>
        <w:t xml:space="preserve">and the reduction </w:t>
      </w:r>
      <w:r w:rsidR="00CE0CAF">
        <w:t>passenger vehicle</w:t>
      </w:r>
      <w:r>
        <w:t xml:space="preserve"> emissions by its riders, who chose transit over driving.</w:t>
      </w:r>
      <w:r w:rsidR="00316656">
        <w:t xml:space="preserve"> </w:t>
      </w:r>
      <w:r>
        <w:t xml:space="preserve">Clear communication to explain the effectiveness of transit as a solution for improving air quality enables transit agencies </w:t>
      </w:r>
      <w:r w:rsidR="00CE0CAF">
        <w:t>to understand the air quality benefits and carbon emissions reductions of their planned and current operations; as well as ensuring the community and its policymakers a common understanding of an agency’s operational and expansion efforts</w:t>
      </w:r>
      <w:r>
        <w:t>.</w:t>
      </w:r>
    </w:p>
    <w:p w:rsidR="00623894" w:rsidRDefault="00623894" w:rsidP="00623894">
      <w:pPr>
        <w:spacing w:after="0" w:line="240" w:lineRule="auto"/>
        <w:rPr>
          <w:b/>
        </w:rPr>
      </w:pPr>
    </w:p>
    <w:p w:rsidR="00623894" w:rsidRDefault="00623894" w:rsidP="00623894">
      <w:pPr>
        <w:spacing w:after="0" w:line="240" w:lineRule="auto"/>
      </w:pPr>
      <w:r w:rsidRPr="00623894">
        <w:rPr>
          <w:b/>
        </w:rPr>
        <w:t>I.</w:t>
      </w:r>
      <w:r w:rsidRPr="00623894">
        <w:rPr>
          <w:b/>
        </w:rPr>
        <w:tab/>
      </w:r>
      <w:r>
        <w:rPr>
          <w:b/>
        </w:rPr>
        <w:t>Introduction</w:t>
      </w:r>
    </w:p>
    <w:p w:rsidR="00623894" w:rsidRDefault="00623894" w:rsidP="00623894">
      <w:pPr>
        <w:spacing w:after="0" w:line="240" w:lineRule="auto"/>
      </w:pPr>
    </w:p>
    <w:p w:rsidR="00DF3365" w:rsidRDefault="00C04A66" w:rsidP="00DC49FB">
      <w:pPr>
        <w:spacing w:after="0" w:line="240" w:lineRule="auto"/>
      </w:pPr>
      <w:r>
        <w:t xml:space="preserve">The Transit Emissions Quantifier </w:t>
      </w:r>
      <w:r w:rsidR="00CE0CAF">
        <w:t xml:space="preserve">Tool </w:t>
      </w:r>
      <w:r>
        <w:t>(the “Quantifier”) is a tool that enables public transportation agencies to estimate direct emissions</w:t>
      </w:r>
      <w:r w:rsidR="00CE0CAF">
        <w:t xml:space="preserve"> (e.g. tailpipe) from the propulsion of its services</w:t>
      </w:r>
      <w:r>
        <w:t xml:space="preserve"> and emission credits </w:t>
      </w:r>
      <w:r w:rsidR="00004892">
        <w:t>through the reduction of passenger vehicle miles by its riders</w:t>
      </w:r>
      <w:r>
        <w:t>.</w:t>
      </w:r>
      <w:r w:rsidR="00316656">
        <w:t xml:space="preserve"> </w:t>
      </w:r>
      <w:r w:rsidR="00004892">
        <w:t>The Quantifier calculates emissions of NOx, PM, HC, CO,</w:t>
      </w:r>
      <w:r w:rsidR="00CE0CAF">
        <w:t xml:space="preserve"> SO</w:t>
      </w:r>
      <w:r w:rsidR="00CE0CAF" w:rsidRPr="00CE0CAF">
        <w:rPr>
          <w:vertAlign w:val="subscript"/>
        </w:rPr>
        <w:t>2</w:t>
      </w:r>
      <w:r w:rsidR="00CE0CAF">
        <w:t xml:space="preserve">, </w:t>
      </w:r>
      <w:r w:rsidR="00004892">
        <w:t>CO</w:t>
      </w:r>
      <w:r w:rsidR="00004892" w:rsidRPr="00140739">
        <w:rPr>
          <w:vertAlign w:val="subscript"/>
        </w:rPr>
        <w:t>2</w:t>
      </w:r>
      <w:r w:rsidR="00CE0CAF">
        <w:rPr>
          <w:vertAlign w:val="subscript"/>
        </w:rPr>
        <w:t xml:space="preserve"> </w:t>
      </w:r>
      <w:r w:rsidR="00CE0CAF">
        <w:t>and gasoline gallon equivalents (GGE) not consumed by its riders</w:t>
      </w:r>
      <w:r>
        <w:t xml:space="preserve">, </w:t>
      </w:r>
      <w:r w:rsidR="00004892">
        <w:t>using established emission factors from USEPA</w:t>
      </w:r>
      <w:r w:rsidR="00E107D3">
        <w:t xml:space="preserve"> approved models</w:t>
      </w:r>
      <w:r w:rsidR="00CE0CAF">
        <w:t>.</w:t>
      </w:r>
      <w:r w:rsidR="00316656">
        <w:t xml:space="preserve"> </w:t>
      </w:r>
      <w:r w:rsidR="00CE0CAF">
        <w:t>The tool</w:t>
      </w:r>
      <w:r>
        <w:t xml:space="preserve"> is flexible enough to suit both large and small agency operations. </w:t>
      </w:r>
    </w:p>
    <w:p w:rsidR="00DF3365" w:rsidRDefault="00DF3365" w:rsidP="00DC49FB">
      <w:pPr>
        <w:spacing w:after="0" w:line="240" w:lineRule="auto"/>
      </w:pPr>
    </w:p>
    <w:p w:rsidR="00DF3365" w:rsidRPr="00DF3365" w:rsidRDefault="00DF3365" w:rsidP="00DC49FB">
      <w:pPr>
        <w:spacing w:after="0" w:line="240" w:lineRule="auto"/>
        <w:rPr>
          <w:rFonts w:eastAsiaTheme="minorEastAsia"/>
        </w:rPr>
      </w:pPr>
      <w:r w:rsidRPr="00DF3365">
        <w:rPr>
          <w:rFonts w:eastAsiaTheme="minorEastAsia"/>
        </w:rPr>
        <w:t>The Quantifier is designed to support transportation agencies across the nation in their efforts to accurately measure pollutant emissions. The tool builds on previous APTA research and publications, specifically, APTA’s Recommended Practice for Quantifying Greenhouse Gas Emissions from Transit (2009). The Recommended Practice contains detailed explanations of greenhouse gas and criteria air pollutant calculations from transportation, as well as an in-depth discussion of accounting for emissions credits.</w:t>
      </w:r>
    </w:p>
    <w:p w:rsidR="00DF3365" w:rsidRDefault="00DF3365" w:rsidP="00DC49FB">
      <w:pPr>
        <w:spacing w:after="0" w:line="240" w:lineRule="auto"/>
      </w:pPr>
    </w:p>
    <w:p w:rsidR="00C04A66" w:rsidRDefault="00C04A66" w:rsidP="00DC49FB">
      <w:pPr>
        <w:spacing w:after="0" w:line="240" w:lineRule="auto"/>
      </w:pPr>
      <w:r>
        <w:t xml:space="preserve">The </w:t>
      </w:r>
      <w:r w:rsidR="00004892">
        <w:t xml:space="preserve">APTA </w:t>
      </w:r>
      <w:r>
        <w:t>C</w:t>
      </w:r>
      <w:r w:rsidR="00004892">
        <w:t xml:space="preserve">limate </w:t>
      </w:r>
      <w:r>
        <w:t>C</w:t>
      </w:r>
      <w:r w:rsidR="00004892">
        <w:t xml:space="preserve">hange </w:t>
      </w:r>
      <w:r>
        <w:t>W</w:t>
      </w:r>
      <w:r w:rsidR="00004892">
        <w:t xml:space="preserve">orking </w:t>
      </w:r>
      <w:r>
        <w:t>G</w:t>
      </w:r>
      <w:r w:rsidR="00004892">
        <w:t>roup (CCWG)</w:t>
      </w:r>
      <w:r>
        <w:t xml:space="preserve"> recommends that agencies explore the use of the emissions quantification tool</w:t>
      </w:r>
      <w:r w:rsidR="00DF3365">
        <w:t>,</w:t>
      </w:r>
      <w:r>
        <w:t xml:space="preserve"> </w:t>
      </w:r>
      <w:r w:rsidR="00DF3365">
        <w:t>such as the Quantifier, for several reasons</w:t>
      </w:r>
      <w:r>
        <w:t>:</w:t>
      </w:r>
    </w:p>
    <w:p w:rsidR="00C04A66" w:rsidRDefault="00C04A66" w:rsidP="00DC49FB">
      <w:pPr>
        <w:pStyle w:val="ListParagraph"/>
        <w:numPr>
          <w:ilvl w:val="0"/>
          <w:numId w:val="2"/>
        </w:numPr>
        <w:spacing w:after="0" w:line="240" w:lineRule="auto"/>
      </w:pPr>
      <w:r>
        <w:t>Establish an emissions debit and credit baseline with the tool to ensure consistent calculations year over year, stabilizing the quantification process despite any personnel or internal process changes;</w:t>
      </w:r>
    </w:p>
    <w:p w:rsidR="00C04A66" w:rsidRDefault="00C04A66" w:rsidP="00DC49FB">
      <w:pPr>
        <w:pStyle w:val="ListParagraph"/>
        <w:numPr>
          <w:ilvl w:val="0"/>
          <w:numId w:val="2"/>
        </w:numPr>
        <w:spacing w:after="0" w:line="240" w:lineRule="auto"/>
      </w:pPr>
      <w:r>
        <w:t>Standard reporting protocols provide leverage for the industry to propose or support legislation/policy, funding agreements, and collective industry reporting;</w:t>
      </w:r>
      <w:r w:rsidR="00DF3365">
        <w:t xml:space="preserve"> and</w:t>
      </w:r>
    </w:p>
    <w:p w:rsidR="00C04A66" w:rsidRDefault="00C04A66" w:rsidP="00DC49FB">
      <w:pPr>
        <w:pStyle w:val="ListParagraph"/>
        <w:numPr>
          <w:ilvl w:val="0"/>
          <w:numId w:val="2"/>
        </w:numPr>
        <w:spacing w:after="0" w:line="240" w:lineRule="auto"/>
      </w:pPr>
      <w:r>
        <w:t>Running calculations using the tool enables cross-agency comparison if an agency is interested in measuring emissions a</w:t>
      </w:r>
      <w:r w:rsidR="00DF3365">
        <w:t>gainst other industry providers.</w:t>
      </w:r>
    </w:p>
    <w:p w:rsidR="00DC49FB" w:rsidRDefault="00DC49FB" w:rsidP="00DF3365">
      <w:pPr>
        <w:spacing w:after="0" w:line="240" w:lineRule="auto"/>
      </w:pPr>
    </w:p>
    <w:p w:rsidR="00DF3365" w:rsidRPr="00DF3365" w:rsidRDefault="00DF3365" w:rsidP="00DF3365">
      <w:pPr>
        <w:spacing w:after="0" w:line="240" w:lineRule="auto"/>
        <w:rPr>
          <w:rFonts w:eastAsiaTheme="minorEastAsia"/>
        </w:rPr>
      </w:pPr>
      <w:r w:rsidRPr="00DF3365">
        <w:rPr>
          <w:rFonts w:eastAsiaTheme="minorEastAsia"/>
        </w:rPr>
        <w:t>More detailed or accurate quantification techniques can be used simultaneously with the tool, but as many of these methods are still developing and may not be comparable year over year; the Quantifier tool provides an element of stability in reporting.</w:t>
      </w:r>
      <w:r w:rsidR="00316656">
        <w:rPr>
          <w:rFonts w:eastAsiaTheme="minorEastAsia"/>
        </w:rPr>
        <w:t xml:space="preserve"> </w:t>
      </w:r>
      <w:r w:rsidRPr="00DF3365">
        <w:rPr>
          <w:rFonts w:eastAsiaTheme="minorEastAsia"/>
        </w:rPr>
        <w:t>Calculations developed within this model are consistent with current practice and principles recommended in APTA’s Recommended Practice for Quantifying Greenhouse Gas Emissions from Transit (2009). It is strongly recommended that this tool is used in tandem with the 2009 Recommended Practice to ensure a full understanding of the calculations involved, the baseline assumptions, and the reasoning for including emissions credits.</w:t>
      </w:r>
      <w:r w:rsidR="00316656">
        <w:rPr>
          <w:rFonts w:eastAsiaTheme="minorEastAsia"/>
        </w:rPr>
        <w:t xml:space="preserve"> </w:t>
      </w:r>
      <w:r w:rsidRPr="00DF3365">
        <w:rPr>
          <w:rFonts w:eastAsiaTheme="minorEastAsia"/>
        </w:rPr>
        <w:t xml:space="preserve">While the inputs and results are acceptable for the purposes stated above, additional work is currently underway through </w:t>
      </w:r>
      <w:r w:rsidRPr="00DF3365">
        <w:rPr>
          <w:rFonts w:eastAsiaTheme="minorEastAsia"/>
        </w:rPr>
        <w:lastRenderedPageBreak/>
        <w:t>others, specifically in the area of land-use and transit co-benefits that could replace the default values used throughout the Quantifier.</w:t>
      </w:r>
      <w:r w:rsidR="00316656">
        <w:rPr>
          <w:rFonts w:eastAsiaTheme="minorEastAsia"/>
        </w:rPr>
        <w:t xml:space="preserve"> </w:t>
      </w:r>
      <w:r w:rsidRPr="00DF3365">
        <w:rPr>
          <w:rFonts w:eastAsiaTheme="minorEastAsia"/>
        </w:rPr>
        <w:t>The results of the Quantifier should be considered conservative with the highest value of providing an annual comparison of air quality benefits for the purposes of continual improvement.</w:t>
      </w:r>
    </w:p>
    <w:p w:rsidR="00DF3365" w:rsidRDefault="00DF3365" w:rsidP="00DF3365">
      <w:pPr>
        <w:spacing w:after="0" w:line="240" w:lineRule="auto"/>
      </w:pPr>
    </w:p>
    <w:p w:rsidR="00DF3365" w:rsidRDefault="00DF3365" w:rsidP="00DF3365">
      <w:pPr>
        <w:spacing w:after="0" w:line="240" w:lineRule="auto"/>
      </w:pPr>
      <w:r>
        <w:rPr>
          <w:b/>
        </w:rPr>
        <w:t>II.</w:t>
      </w:r>
      <w:r>
        <w:rPr>
          <w:b/>
        </w:rPr>
        <w:tab/>
        <w:t>Data Needs</w:t>
      </w:r>
    </w:p>
    <w:p w:rsidR="00DF3365" w:rsidRDefault="00DF3365" w:rsidP="00DF3365">
      <w:pPr>
        <w:spacing w:after="0" w:line="240" w:lineRule="auto"/>
      </w:pPr>
    </w:p>
    <w:p w:rsidR="00DF3365" w:rsidRPr="00DF3365" w:rsidRDefault="00DF3365" w:rsidP="00DF3365">
      <w:pPr>
        <w:numPr>
          <w:ilvl w:val="0"/>
          <w:numId w:val="8"/>
        </w:numPr>
        <w:spacing w:line="288" w:lineRule="auto"/>
        <w:contextualSpacing/>
        <w:rPr>
          <w:rFonts w:ascii="Calibri" w:eastAsia="Calibri" w:hAnsi="Calibri" w:cs="Times New Roman"/>
        </w:rPr>
      </w:pPr>
      <w:r w:rsidRPr="00DF3365">
        <w:rPr>
          <w:rFonts w:ascii="Calibri" w:eastAsia="Calibri" w:hAnsi="Calibri" w:cs="Times New Roman"/>
        </w:rPr>
        <w:t xml:space="preserve">Source 1: Type of Fleet (i.e. Bus, Locomotive, Light Rail, Van, etc.) </w:t>
      </w:r>
    </w:p>
    <w:p w:rsidR="00DF3365" w:rsidRDefault="00DF3365" w:rsidP="003B06E7">
      <w:pPr>
        <w:numPr>
          <w:ilvl w:val="0"/>
          <w:numId w:val="8"/>
        </w:numPr>
        <w:spacing w:line="288" w:lineRule="auto"/>
        <w:contextualSpacing/>
        <w:rPr>
          <w:rFonts w:ascii="Calibri" w:eastAsia="Calibri" w:hAnsi="Calibri" w:cs="Times New Roman"/>
        </w:rPr>
      </w:pPr>
      <w:r w:rsidRPr="00DF3365">
        <w:rPr>
          <w:rFonts w:ascii="Calibri" w:eastAsia="Calibri" w:hAnsi="Calibri" w:cs="Times New Roman"/>
        </w:rPr>
        <w:t>Source 2: Vehicle Group (e.g. No. of Buses in a Manuf. Year)</w:t>
      </w:r>
    </w:p>
    <w:p w:rsidR="00DF3365" w:rsidRPr="00DF3365" w:rsidRDefault="00DF3365" w:rsidP="003B06E7">
      <w:pPr>
        <w:numPr>
          <w:ilvl w:val="0"/>
          <w:numId w:val="8"/>
        </w:numPr>
        <w:spacing w:line="288" w:lineRule="auto"/>
        <w:contextualSpacing/>
        <w:rPr>
          <w:rFonts w:ascii="Calibri" w:eastAsia="Calibri" w:hAnsi="Calibri" w:cs="Times New Roman"/>
        </w:rPr>
      </w:pPr>
      <w:r w:rsidRPr="00DF3365">
        <w:rPr>
          <w:rFonts w:ascii="Calibri" w:eastAsia="Calibri" w:hAnsi="Calibri" w:cs="Times New Roman"/>
        </w:rPr>
        <w:t>Source 3: Fuel Volume (Total gallons/year for a model year)</w:t>
      </w:r>
    </w:p>
    <w:p w:rsidR="00DF3365" w:rsidRPr="00DF3365" w:rsidRDefault="00DF3365" w:rsidP="00DF3365">
      <w:pPr>
        <w:numPr>
          <w:ilvl w:val="0"/>
          <w:numId w:val="8"/>
        </w:numPr>
        <w:spacing w:line="288" w:lineRule="auto"/>
        <w:contextualSpacing/>
        <w:rPr>
          <w:rFonts w:ascii="Calibri" w:eastAsia="Calibri" w:hAnsi="Calibri" w:cs="Times New Roman"/>
        </w:rPr>
      </w:pPr>
      <w:r w:rsidRPr="00DF3365">
        <w:rPr>
          <w:rFonts w:ascii="Calibri" w:eastAsia="Calibri" w:hAnsi="Calibri" w:cs="Times New Roman"/>
        </w:rPr>
        <w:t>Source 4: Vehicle miles travelled for fleet count (Total miles/year for a model year): On Highway Only</w:t>
      </w:r>
    </w:p>
    <w:p w:rsidR="00DF3365" w:rsidRPr="00DF3365" w:rsidRDefault="00DF3365" w:rsidP="00DF3365">
      <w:pPr>
        <w:numPr>
          <w:ilvl w:val="0"/>
          <w:numId w:val="8"/>
        </w:numPr>
        <w:spacing w:line="288" w:lineRule="auto"/>
        <w:contextualSpacing/>
        <w:rPr>
          <w:rFonts w:ascii="Calibri" w:eastAsia="Calibri" w:hAnsi="Calibri" w:cs="Times New Roman"/>
        </w:rPr>
      </w:pPr>
      <w:r w:rsidRPr="00DF3365">
        <w:rPr>
          <w:rFonts w:ascii="Calibri" w:eastAsia="Calibri" w:hAnsi="Calibri" w:cs="Times New Roman"/>
        </w:rPr>
        <w:t>Source 5: Vehicle Revenue Miles (VRM) from NTD</w:t>
      </w:r>
    </w:p>
    <w:p w:rsidR="00DF3365" w:rsidRPr="00DF3365" w:rsidRDefault="00DF3365" w:rsidP="00DF3365">
      <w:pPr>
        <w:numPr>
          <w:ilvl w:val="0"/>
          <w:numId w:val="8"/>
        </w:numPr>
        <w:spacing w:line="288" w:lineRule="auto"/>
        <w:contextualSpacing/>
        <w:rPr>
          <w:rFonts w:ascii="Calibri" w:eastAsia="Calibri" w:hAnsi="Calibri" w:cs="Times New Roman"/>
        </w:rPr>
      </w:pPr>
      <w:r w:rsidRPr="00DF3365">
        <w:rPr>
          <w:rFonts w:ascii="Calibri" w:eastAsia="Calibri" w:hAnsi="Calibri" w:cs="Times New Roman"/>
        </w:rPr>
        <w:t>Source 6: Passenger Miles Travelled (PMT) from NTD</w:t>
      </w:r>
    </w:p>
    <w:p w:rsidR="00DF3365" w:rsidRPr="00DF3365" w:rsidRDefault="00DF3365" w:rsidP="00DF3365">
      <w:pPr>
        <w:numPr>
          <w:ilvl w:val="0"/>
          <w:numId w:val="8"/>
        </w:numPr>
        <w:spacing w:line="288" w:lineRule="auto"/>
        <w:contextualSpacing/>
        <w:rPr>
          <w:rFonts w:ascii="Calibri" w:eastAsia="Calibri" w:hAnsi="Calibri" w:cs="Times New Roman"/>
        </w:rPr>
      </w:pPr>
      <w:r w:rsidRPr="00DF3365">
        <w:rPr>
          <w:rFonts w:ascii="Calibri" w:eastAsia="Calibri" w:hAnsi="Calibri" w:cs="Times New Roman"/>
        </w:rPr>
        <w:t>Source 7: Seat capacity of each vehicle type in a model year</w:t>
      </w:r>
    </w:p>
    <w:p w:rsidR="00DF3365" w:rsidRDefault="00DF3365" w:rsidP="00DF3365">
      <w:pPr>
        <w:spacing w:after="0" w:line="240" w:lineRule="auto"/>
      </w:pPr>
    </w:p>
    <w:p w:rsidR="00004892" w:rsidRDefault="00004892" w:rsidP="00004892">
      <w:pPr>
        <w:spacing w:after="0" w:line="240" w:lineRule="auto"/>
      </w:pPr>
      <w:r>
        <w:rPr>
          <w:b/>
        </w:rPr>
        <w:t>II</w:t>
      </w:r>
      <w:r w:rsidR="00DF3365">
        <w:rPr>
          <w:b/>
        </w:rPr>
        <w:t>I</w:t>
      </w:r>
      <w:r>
        <w:rPr>
          <w:b/>
        </w:rPr>
        <w:t>.</w:t>
      </w:r>
      <w:r>
        <w:rPr>
          <w:b/>
        </w:rPr>
        <w:tab/>
        <w:t>Screen-Specific Instructions</w:t>
      </w:r>
    </w:p>
    <w:p w:rsidR="00004892" w:rsidRDefault="00004892" w:rsidP="00004892">
      <w:pPr>
        <w:spacing w:after="0" w:line="240" w:lineRule="auto"/>
      </w:pPr>
    </w:p>
    <w:p w:rsidR="00004892" w:rsidRDefault="00E107D3" w:rsidP="00004892">
      <w:pPr>
        <w:spacing w:after="0" w:line="240" w:lineRule="auto"/>
      </w:pPr>
      <w:r>
        <w:t>The “NTD” tab provides users with the primary data field inputs for each mode of transportation that they may offer:</w:t>
      </w:r>
    </w:p>
    <w:p w:rsidR="00E107D3" w:rsidRDefault="00E107D3" w:rsidP="00E107D3">
      <w:pPr>
        <w:pStyle w:val="ListParagraph"/>
        <w:numPr>
          <w:ilvl w:val="0"/>
          <w:numId w:val="3"/>
        </w:numPr>
        <w:spacing w:after="0" w:line="240" w:lineRule="auto"/>
      </w:pPr>
      <w:r>
        <w:t>Commuter Rail (CR) – Diesel and Electric</w:t>
      </w:r>
    </w:p>
    <w:p w:rsidR="00E107D3" w:rsidRDefault="00E107D3" w:rsidP="00E107D3">
      <w:pPr>
        <w:pStyle w:val="ListParagraph"/>
        <w:numPr>
          <w:ilvl w:val="0"/>
          <w:numId w:val="3"/>
        </w:numPr>
        <w:spacing w:after="0" w:line="240" w:lineRule="auto"/>
      </w:pPr>
      <w:r>
        <w:t>Heavy Rail (HR) – Electric</w:t>
      </w:r>
    </w:p>
    <w:p w:rsidR="00E107D3" w:rsidRDefault="00E107D3" w:rsidP="00E107D3">
      <w:pPr>
        <w:pStyle w:val="ListParagraph"/>
        <w:numPr>
          <w:ilvl w:val="0"/>
          <w:numId w:val="3"/>
        </w:numPr>
        <w:spacing w:after="0" w:line="240" w:lineRule="auto"/>
      </w:pPr>
      <w:r>
        <w:t>Light Rail (LR) – Electric</w:t>
      </w:r>
    </w:p>
    <w:p w:rsidR="00DF3365" w:rsidRDefault="00DF3365" w:rsidP="00E107D3">
      <w:pPr>
        <w:pStyle w:val="ListParagraph"/>
        <w:numPr>
          <w:ilvl w:val="0"/>
          <w:numId w:val="3"/>
        </w:numPr>
        <w:spacing w:after="0" w:line="240" w:lineRule="auto"/>
      </w:pPr>
      <w:r>
        <w:t>Streetcar (S</w:t>
      </w:r>
      <w:r w:rsidR="00F332FB">
        <w:t>R</w:t>
      </w:r>
      <w:r>
        <w:t>) – Electric</w:t>
      </w:r>
    </w:p>
    <w:p w:rsidR="00DF3365" w:rsidRDefault="00DF3365" w:rsidP="00E107D3">
      <w:pPr>
        <w:pStyle w:val="ListParagraph"/>
        <w:numPr>
          <w:ilvl w:val="0"/>
          <w:numId w:val="3"/>
        </w:numPr>
        <w:spacing w:after="0" w:line="240" w:lineRule="auto"/>
      </w:pPr>
      <w:r>
        <w:t>Trolley Bus (TB) - Electric</w:t>
      </w:r>
    </w:p>
    <w:p w:rsidR="00E107D3" w:rsidRDefault="00E107D3" w:rsidP="00E107D3">
      <w:pPr>
        <w:pStyle w:val="ListParagraph"/>
        <w:numPr>
          <w:ilvl w:val="0"/>
          <w:numId w:val="3"/>
        </w:numPr>
        <w:spacing w:after="0" w:line="240" w:lineRule="auto"/>
      </w:pPr>
      <w:r>
        <w:t>Bus (MB) – Compressed Natural Gas (CNG)</w:t>
      </w:r>
      <w:r w:rsidR="00DF3365">
        <w:t>,</w:t>
      </w:r>
      <w:r>
        <w:t xml:space="preserve"> Diesel</w:t>
      </w:r>
      <w:r w:rsidR="00DF3365">
        <w:t xml:space="preserve"> and Electric</w:t>
      </w:r>
    </w:p>
    <w:p w:rsidR="00DF3365" w:rsidRDefault="00F332FB" w:rsidP="00E107D3">
      <w:pPr>
        <w:pStyle w:val="ListParagraph"/>
        <w:numPr>
          <w:ilvl w:val="0"/>
          <w:numId w:val="3"/>
        </w:numPr>
        <w:spacing w:after="0" w:line="240" w:lineRule="auto"/>
      </w:pPr>
      <w:r>
        <w:t>Bus Rapid Transit (</w:t>
      </w:r>
      <w:r w:rsidR="00DF3365">
        <w:t>R</w:t>
      </w:r>
      <w:r>
        <w:t>B</w:t>
      </w:r>
      <w:r w:rsidR="00DF3365">
        <w:t>) –</w:t>
      </w:r>
      <w:r>
        <w:t>CNG</w:t>
      </w:r>
      <w:r w:rsidR="00DF3365">
        <w:t>, Diesel and Electric</w:t>
      </w:r>
    </w:p>
    <w:p w:rsidR="00DF3365" w:rsidRDefault="00F332FB" w:rsidP="00E107D3">
      <w:pPr>
        <w:pStyle w:val="ListParagraph"/>
        <w:numPr>
          <w:ilvl w:val="0"/>
          <w:numId w:val="3"/>
        </w:numPr>
        <w:spacing w:after="0" w:line="240" w:lineRule="auto"/>
      </w:pPr>
      <w:r>
        <w:t>Commuter Bus (CB) – CNG and Diesel</w:t>
      </w:r>
    </w:p>
    <w:p w:rsidR="00E107D3" w:rsidRDefault="00E107D3" w:rsidP="00E107D3">
      <w:pPr>
        <w:pStyle w:val="ListParagraph"/>
        <w:numPr>
          <w:ilvl w:val="0"/>
          <w:numId w:val="3"/>
        </w:numPr>
        <w:spacing w:after="0" w:line="240" w:lineRule="auto"/>
      </w:pPr>
      <w:r>
        <w:t>Vanpool (VP) – CNG, Diesel and Gasoline</w:t>
      </w:r>
    </w:p>
    <w:p w:rsidR="00E107D3" w:rsidRDefault="00E107D3" w:rsidP="00E107D3">
      <w:pPr>
        <w:spacing w:after="0" w:line="240" w:lineRule="auto"/>
      </w:pPr>
    </w:p>
    <w:p w:rsidR="004D76D0" w:rsidRDefault="004D76D0" w:rsidP="004D76D0">
      <w:pPr>
        <w:spacing w:after="0" w:line="240" w:lineRule="auto"/>
        <w:ind w:left="360"/>
      </w:pPr>
      <w:r>
        <w:t xml:space="preserve">All </w:t>
      </w:r>
      <w:r w:rsidRPr="004D76D0">
        <w:rPr>
          <w:highlight w:val="yellow"/>
        </w:rPr>
        <w:t>YELLOW</w:t>
      </w:r>
      <w:r>
        <w:t xml:space="preserve"> fields are open for user input or adjustment.</w:t>
      </w:r>
      <w:r w:rsidR="00316656">
        <w:t xml:space="preserve"> </w:t>
      </w:r>
    </w:p>
    <w:p w:rsidR="004D76D0" w:rsidRDefault="004D76D0" w:rsidP="004D76D0">
      <w:pPr>
        <w:spacing w:after="0" w:line="240" w:lineRule="auto"/>
        <w:ind w:left="360"/>
      </w:pPr>
      <w:r>
        <w:t xml:space="preserve">All </w:t>
      </w:r>
      <w:r w:rsidRPr="004D76D0">
        <w:rPr>
          <w:highlight w:val="green"/>
        </w:rPr>
        <w:t>GREEN</w:t>
      </w:r>
      <w:r>
        <w:t xml:space="preserve"> fields</w:t>
      </w:r>
      <w:r w:rsidR="00C61190">
        <w:t xml:space="preserve"> are </w:t>
      </w:r>
      <w:r w:rsidR="002B7C2E">
        <w:t>static;</w:t>
      </w:r>
      <w:r w:rsidR="00C61190">
        <w:t xml:space="preserve"> containing USEPA established emissions rates or calculations.</w:t>
      </w:r>
    </w:p>
    <w:p w:rsidR="00F332FB" w:rsidRDefault="00F332FB" w:rsidP="004D76D0">
      <w:pPr>
        <w:spacing w:after="0" w:line="240" w:lineRule="auto"/>
        <w:ind w:left="360"/>
      </w:pPr>
    </w:p>
    <w:p w:rsidR="00F332FB" w:rsidRDefault="00F332FB" w:rsidP="00F332FB">
      <w:pPr>
        <w:spacing w:after="0" w:line="240" w:lineRule="auto"/>
        <w:ind w:left="360"/>
      </w:pPr>
      <w:r>
        <w:t>The first table on the NTD worksheet should be populated with available data for Energy/Fuel, Unlinked Trips, Vehicle-Miles, and Passenger-Miles from NTD.</w:t>
      </w:r>
      <w:r w:rsidR="00316656">
        <w:t xml:space="preserve"> </w:t>
      </w:r>
      <w:r>
        <w:t>Seat-Miles can be determined, using APTA’s Standards Sustainability Metrics for Criteria Air Pollutants: Calculation Methods.</w:t>
      </w:r>
    </w:p>
    <w:p w:rsidR="00EF636B" w:rsidRDefault="00EF636B" w:rsidP="00F332FB">
      <w:pPr>
        <w:spacing w:after="0" w:line="240" w:lineRule="auto"/>
      </w:pPr>
    </w:p>
    <w:p w:rsidR="00F332FB" w:rsidRDefault="00F332FB" w:rsidP="004D76D0">
      <w:pPr>
        <w:spacing w:after="0" w:line="240" w:lineRule="auto"/>
        <w:ind w:left="360"/>
      </w:pPr>
      <w:r w:rsidRPr="00F332FB">
        <w:rPr>
          <w:noProof/>
        </w:rPr>
        <w:lastRenderedPageBreak/>
        <w:drawing>
          <wp:inline distT="0" distB="0" distL="0" distR="0">
            <wp:extent cx="5943600" cy="20469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046989"/>
                    </a:xfrm>
                    <a:prstGeom prst="rect">
                      <a:avLst/>
                    </a:prstGeom>
                    <a:noFill/>
                    <a:ln>
                      <a:noFill/>
                    </a:ln>
                  </pic:spPr>
                </pic:pic>
              </a:graphicData>
            </a:graphic>
          </wp:inline>
        </w:drawing>
      </w:r>
    </w:p>
    <w:p w:rsidR="00F332FB" w:rsidRDefault="00F332FB" w:rsidP="004D76D0">
      <w:pPr>
        <w:spacing w:after="0" w:line="240" w:lineRule="auto"/>
        <w:ind w:left="360"/>
      </w:pPr>
    </w:p>
    <w:p w:rsidR="001D79C4" w:rsidRPr="001D79C4" w:rsidRDefault="001D79C4" w:rsidP="001D79C4">
      <w:pPr>
        <w:spacing w:after="0" w:line="240" w:lineRule="auto"/>
        <w:ind w:left="360"/>
        <w:rPr>
          <w:rFonts w:eastAsiaTheme="minorEastAsia"/>
        </w:rPr>
      </w:pPr>
      <w:r w:rsidRPr="001D79C4">
        <w:rPr>
          <w:rFonts w:eastAsiaTheme="minorEastAsia"/>
        </w:rPr>
        <w:t xml:space="preserve">The </w:t>
      </w:r>
      <w:r>
        <w:rPr>
          <w:rFonts w:eastAsiaTheme="minorEastAsia"/>
        </w:rPr>
        <w:t>second</w:t>
      </w:r>
      <w:r w:rsidRPr="001D79C4">
        <w:rPr>
          <w:rFonts w:eastAsiaTheme="minorEastAsia"/>
        </w:rPr>
        <w:t xml:space="preserve"> table on the NTD worksheet should be populated with data from USEPA’s eGRID data for electricity generation and USEPA’s Air Emission Sources Where You Live.</w:t>
      </w:r>
    </w:p>
    <w:p w:rsidR="001D79C4" w:rsidRDefault="001D79C4" w:rsidP="004D76D0">
      <w:pPr>
        <w:spacing w:after="0" w:line="240" w:lineRule="auto"/>
        <w:ind w:left="360"/>
      </w:pPr>
    </w:p>
    <w:p w:rsidR="001D79C4" w:rsidRDefault="001D79C4" w:rsidP="004D76D0">
      <w:pPr>
        <w:spacing w:after="0" w:line="240" w:lineRule="auto"/>
        <w:ind w:left="360"/>
      </w:pPr>
      <w:r w:rsidRPr="001D79C4">
        <w:rPr>
          <w:noProof/>
        </w:rPr>
        <w:drawing>
          <wp:inline distT="0" distB="0" distL="0" distR="0">
            <wp:extent cx="5943600" cy="5469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46992"/>
                    </a:xfrm>
                    <a:prstGeom prst="rect">
                      <a:avLst/>
                    </a:prstGeom>
                    <a:noFill/>
                    <a:ln>
                      <a:noFill/>
                    </a:ln>
                  </pic:spPr>
                </pic:pic>
              </a:graphicData>
            </a:graphic>
          </wp:inline>
        </w:drawing>
      </w:r>
    </w:p>
    <w:p w:rsidR="001D79C4" w:rsidRDefault="001D79C4" w:rsidP="004D76D0">
      <w:pPr>
        <w:spacing w:after="0" w:line="240" w:lineRule="auto"/>
        <w:ind w:left="360"/>
      </w:pPr>
    </w:p>
    <w:p w:rsidR="001D79C4" w:rsidRDefault="001D79C4" w:rsidP="001D79C4">
      <w:pPr>
        <w:spacing w:after="0" w:line="240" w:lineRule="auto"/>
        <w:ind w:left="360"/>
        <w:contextualSpacing/>
        <w:rPr>
          <w:rFonts w:eastAsiaTheme="minorEastAsia"/>
        </w:rPr>
      </w:pPr>
      <w:r w:rsidRPr="001D79C4">
        <w:rPr>
          <w:rFonts w:eastAsiaTheme="minorEastAsia"/>
        </w:rPr>
        <w:t>Recommended data from USEPA’s MS Excel eGRID data field “ST09 – State annual net generation (MWh)” and “ST09 – State annual CO</w:t>
      </w:r>
      <w:r w:rsidRPr="001D79C4">
        <w:rPr>
          <w:rFonts w:eastAsiaTheme="minorEastAsia"/>
          <w:vertAlign w:val="subscript"/>
        </w:rPr>
        <w:t>2</w:t>
      </w:r>
      <w:r w:rsidRPr="001D79C4">
        <w:rPr>
          <w:rFonts w:eastAsiaTheme="minorEastAsia"/>
        </w:rPr>
        <w:t xml:space="preserve"> equivalent emissions (tons)”.</w:t>
      </w:r>
      <w:r w:rsidR="00316656">
        <w:rPr>
          <w:rFonts w:eastAsiaTheme="minorEastAsia"/>
        </w:rPr>
        <w:t xml:space="preserve"> </w:t>
      </w:r>
      <w:r w:rsidR="00437B44">
        <w:rPr>
          <w:rFonts w:eastAsiaTheme="minorEastAsia"/>
        </w:rPr>
        <w:t>The “State annual NO</w:t>
      </w:r>
      <w:r w:rsidR="00437B44">
        <w:rPr>
          <w:rFonts w:eastAsiaTheme="minorEastAsia"/>
          <w:vertAlign w:val="subscript"/>
        </w:rPr>
        <w:t>X</w:t>
      </w:r>
      <w:r w:rsidR="00437B44">
        <w:rPr>
          <w:rFonts w:eastAsiaTheme="minorEastAsia"/>
        </w:rPr>
        <w:t xml:space="preserve"> emissions (tons)” and “State annual SO</w:t>
      </w:r>
      <w:r w:rsidR="00437B44" w:rsidRPr="00437B44">
        <w:rPr>
          <w:rFonts w:eastAsiaTheme="minorEastAsia"/>
          <w:vertAlign w:val="subscript"/>
        </w:rPr>
        <w:t>2</w:t>
      </w:r>
      <w:r w:rsidR="00437B44">
        <w:rPr>
          <w:rFonts w:eastAsiaTheme="minorEastAsia"/>
        </w:rPr>
        <w:t xml:space="preserve"> emissions (tons)” are available, as well, but may be obtained, using USEPA’s Air Emissions Sources Where You Live.</w:t>
      </w:r>
      <w:r w:rsidR="00316656">
        <w:rPr>
          <w:rFonts w:eastAsiaTheme="minorEastAsia"/>
        </w:rPr>
        <w:t xml:space="preserve"> </w:t>
      </w:r>
      <w:r w:rsidR="00437B44">
        <w:rPr>
          <w:rFonts w:eastAsiaTheme="minorEastAsia"/>
        </w:rPr>
        <w:t>Either source is acceptable for NO</w:t>
      </w:r>
      <w:r w:rsidR="00437B44" w:rsidRPr="00437B44">
        <w:rPr>
          <w:rFonts w:eastAsiaTheme="minorEastAsia"/>
          <w:vertAlign w:val="subscript"/>
        </w:rPr>
        <w:t>X</w:t>
      </w:r>
      <w:r w:rsidR="00437B44">
        <w:rPr>
          <w:rFonts w:eastAsiaTheme="minorEastAsia"/>
        </w:rPr>
        <w:t xml:space="preserve"> and SO</w:t>
      </w:r>
      <w:r w:rsidR="00437B44" w:rsidRPr="00437B44">
        <w:rPr>
          <w:rFonts w:eastAsiaTheme="minorEastAsia"/>
          <w:vertAlign w:val="subscript"/>
        </w:rPr>
        <w:t>2</w:t>
      </w:r>
      <w:r w:rsidR="00437B44">
        <w:rPr>
          <w:rFonts w:eastAsiaTheme="minorEastAsia"/>
        </w:rPr>
        <w:t>.</w:t>
      </w:r>
    </w:p>
    <w:p w:rsidR="001D79C4" w:rsidRPr="001D79C4" w:rsidRDefault="001D79C4" w:rsidP="001D79C4">
      <w:pPr>
        <w:spacing w:after="0" w:line="240" w:lineRule="auto"/>
        <w:ind w:left="360"/>
        <w:contextualSpacing/>
        <w:rPr>
          <w:rFonts w:eastAsiaTheme="minorEastAsia"/>
        </w:rPr>
      </w:pPr>
    </w:p>
    <w:p w:rsidR="001D79C4" w:rsidRDefault="009D1F46" w:rsidP="001D79C4">
      <w:pPr>
        <w:spacing w:after="0" w:line="240" w:lineRule="auto"/>
        <w:ind w:left="360"/>
        <w:contextualSpacing/>
        <w:rPr>
          <w:rFonts w:eastAsiaTheme="minorEastAsia"/>
        </w:rPr>
      </w:pPr>
      <w:r>
        <w:rPr>
          <w:rFonts w:eastAsiaTheme="minorEastAsia"/>
        </w:rPr>
        <w:t xml:space="preserve">The following resource collects all emissions data with the exception of nitrous oxides and </w:t>
      </w:r>
      <w:proofErr w:type="spellStart"/>
      <w:r>
        <w:rPr>
          <w:rFonts w:eastAsiaTheme="minorEastAsia"/>
        </w:rPr>
        <w:t>nonmethane</w:t>
      </w:r>
      <w:proofErr w:type="spellEnd"/>
      <w:r>
        <w:rPr>
          <w:rFonts w:eastAsiaTheme="minorEastAsia"/>
        </w:rPr>
        <w:t xml:space="preserve"> hydrocarbons. To collect the others, scroll to t</w:t>
      </w:r>
      <w:r w:rsidR="001D79C4" w:rsidRPr="001D79C4">
        <w:rPr>
          <w:rFonts w:eastAsiaTheme="minorEastAsia"/>
        </w:rPr>
        <w:t>he bottom of USEPA’s web site Where You Live (</w:t>
      </w:r>
      <w:hyperlink r:id="rId8" w:history="1">
        <w:r w:rsidR="001D79C4" w:rsidRPr="001D79C4">
          <w:rPr>
            <w:rFonts w:eastAsiaTheme="minorEastAsia"/>
            <w:color w:val="0000FF" w:themeColor="hyperlink"/>
            <w:u w:val="single"/>
          </w:rPr>
          <w:t>http://www.e</w:t>
        </w:r>
        <w:r w:rsidR="001D79C4" w:rsidRPr="001D79C4">
          <w:rPr>
            <w:rFonts w:eastAsiaTheme="minorEastAsia"/>
            <w:color w:val="0000FF" w:themeColor="hyperlink"/>
            <w:u w:val="single"/>
          </w:rPr>
          <w:t>p</w:t>
        </w:r>
        <w:r w:rsidR="001D79C4" w:rsidRPr="001D79C4">
          <w:rPr>
            <w:rFonts w:eastAsiaTheme="minorEastAsia"/>
            <w:color w:val="0000FF" w:themeColor="hyperlink"/>
            <w:u w:val="single"/>
          </w:rPr>
          <w:t>a.gov/air/emissions/where.htm</w:t>
        </w:r>
      </w:hyperlink>
      <w:r w:rsidR="001D79C4" w:rsidRPr="001D79C4">
        <w:rPr>
          <w:rFonts w:eastAsiaTheme="minorEastAsia"/>
        </w:rPr>
        <w:t>)</w:t>
      </w:r>
      <w:r>
        <w:rPr>
          <w:rFonts w:eastAsiaTheme="minorEastAsia"/>
        </w:rPr>
        <w:t>, featuring</w:t>
      </w:r>
      <w:r w:rsidR="001D79C4" w:rsidRPr="001D79C4">
        <w:rPr>
          <w:rFonts w:eastAsiaTheme="minorEastAsia"/>
        </w:rPr>
        <w:t xml:space="preserve"> a section called “Create a File by State or Source Type”.</w:t>
      </w:r>
      <w:r w:rsidR="00316656">
        <w:rPr>
          <w:rFonts w:eastAsiaTheme="minorEastAsia"/>
        </w:rPr>
        <w:t xml:space="preserve"> </w:t>
      </w:r>
    </w:p>
    <w:p w:rsidR="001D79C4" w:rsidRDefault="001D79C4" w:rsidP="001D79C4">
      <w:pPr>
        <w:numPr>
          <w:ilvl w:val="0"/>
          <w:numId w:val="5"/>
        </w:numPr>
        <w:spacing w:after="0" w:line="240" w:lineRule="auto"/>
        <w:ind w:left="1080"/>
        <w:contextualSpacing/>
        <w:rPr>
          <w:rFonts w:eastAsiaTheme="minorEastAsia"/>
        </w:rPr>
      </w:pPr>
      <w:r w:rsidRPr="001D79C4">
        <w:rPr>
          <w:rFonts w:eastAsiaTheme="minorEastAsia"/>
        </w:rPr>
        <w:t xml:space="preserve">Step 1: select your state; </w:t>
      </w:r>
    </w:p>
    <w:p w:rsidR="001D79C4" w:rsidRDefault="001D79C4" w:rsidP="001D79C4">
      <w:pPr>
        <w:numPr>
          <w:ilvl w:val="0"/>
          <w:numId w:val="5"/>
        </w:numPr>
        <w:spacing w:after="0" w:line="240" w:lineRule="auto"/>
        <w:ind w:left="1080"/>
        <w:contextualSpacing/>
        <w:rPr>
          <w:rFonts w:eastAsiaTheme="minorEastAsia"/>
        </w:rPr>
      </w:pPr>
      <w:r w:rsidRPr="001D79C4">
        <w:rPr>
          <w:rFonts w:eastAsiaTheme="minorEastAsia"/>
        </w:rPr>
        <w:t>Step 2:</w:t>
      </w:r>
      <w:r w:rsidR="00316656">
        <w:rPr>
          <w:rFonts w:eastAsiaTheme="minorEastAsia"/>
        </w:rPr>
        <w:t xml:space="preserve"> </w:t>
      </w:r>
      <w:r w:rsidRPr="001D79C4">
        <w:rPr>
          <w:rFonts w:eastAsiaTheme="minorEastAsia"/>
        </w:rPr>
        <w:t xml:space="preserve">select “Electricity Generation via Combustion”; </w:t>
      </w:r>
    </w:p>
    <w:p w:rsidR="001D79C4" w:rsidRDefault="001D79C4" w:rsidP="001D79C4">
      <w:pPr>
        <w:numPr>
          <w:ilvl w:val="0"/>
          <w:numId w:val="5"/>
        </w:numPr>
        <w:spacing w:after="0" w:line="240" w:lineRule="auto"/>
        <w:ind w:left="1080"/>
        <w:contextualSpacing/>
        <w:rPr>
          <w:rFonts w:eastAsiaTheme="minorEastAsia"/>
        </w:rPr>
      </w:pPr>
      <w:r w:rsidRPr="001D79C4">
        <w:rPr>
          <w:rFonts w:eastAsiaTheme="minorEastAsia"/>
        </w:rPr>
        <w:t xml:space="preserve">Step 3: select Pollutant; </w:t>
      </w:r>
    </w:p>
    <w:p w:rsidR="001D79C4" w:rsidRDefault="001D79C4" w:rsidP="001D79C4">
      <w:pPr>
        <w:numPr>
          <w:ilvl w:val="0"/>
          <w:numId w:val="5"/>
        </w:numPr>
        <w:spacing w:after="0" w:line="240" w:lineRule="auto"/>
        <w:ind w:left="1080"/>
        <w:contextualSpacing/>
        <w:rPr>
          <w:rFonts w:eastAsiaTheme="minorEastAsia"/>
        </w:rPr>
      </w:pPr>
      <w:r w:rsidRPr="001D79C4">
        <w:rPr>
          <w:rFonts w:eastAsiaTheme="minorEastAsia"/>
        </w:rPr>
        <w:t xml:space="preserve">skip Step 4; </w:t>
      </w:r>
    </w:p>
    <w:p w:rsidR="001D79C4" w:rsidRDefault="001D79C4" w:rsidP="001D79C4">
      <w:pPr>
        <w:numPr>
          <w:ilvl w:val="0"/>
          <w:numId w:val="5"/>
        </w:numPr>
        <w:spacing w:after="0" w:line="240" w:lineRule="auto"/>
        <w:ind w:left="1080"/>
        <w:contextualSpacing/>
        <w:rPr>
          <w:rFonts w:eastAsiaTheme="minorEastAsia"/>
        </w:rPr>
      </w:pPr>
      <w:r w:rsidRPr="001D79C4">
        <w:rPr>
          <w:rFonts w:eastAsiaTheme="minorEastAsia"/>
        </w:rPr>
        <w:t>Step 5: choose file type.</w:t>
      </w:r>
      <w:r w:rsidR="00316656">
        <w:rPr>
          <w:rFonts w:eastAsiaTheme="minorEastAsia"/>
        </w:rPr>
        <w:t xml:space="preserve"> </w:t>
      </w:r>
      <w:r w:rsidRPr="001D79C4">
        <w:rPr>
          <w:rFonts w:eastAsiaTheme="minorEastAsia"/>
        </w:rPr>
        <w:t>You will receive all of the emissions for each point source in the selected state.</w:t>
      </w:r>
      <w:r w:rsidR="00316656">
        <w:rPr>
          <w:rFonts w:eastAsiaTheme="minorEastAsia"/>
        </w:rPr>
        <w:t xml:space="preserve"> </w:t>
      </w:r>
    </w:p>
    <w:p w:rsidR="001D79C4" w:rsidRDefault="001D79C4" w:rsidP="001D79C4">
      <w:pPr>
        <w:numPr>
          <w:ilvl w:val="0"/>
          <w:numId w:val="5"/>
        </w:numPr>
        <w:spacing w:after="0" w:line="240" w:lineRule="auto"/>
        <w:ind w:left="1080"/>
        <w:contextualSpacing/>
        <w:rPr>
          <w:rFonts w:eastAsiaTheme="minorEastAsia"/>
        </w:rPr>
      </w:pPr>
      <w:r>
        <w:rPr>
          <w:rFonts w:eastAsiaTheme="minorEastAsia"/>
        </w:rPr>
        <w:t xml:space="preserve">Step 6: </w:t>
      </w:r>
      <w:r w:rsidRPr="001D79C4">
        <w:rPr>
          <w:rFonts w:eastAsiaTheme="minorEastAsia"/>
        </w:rPr>
        <w:t>Sort out “Electricity Generation via Combustion”.</w:t>
      </w:r>
      <w:r w:rsidR="00316656">
        <w:rPr>
          <w:rFonts w:eastAsiaTheme="minorEastAsia"/>
        </w:rPr>
        <w:t xml:space="preserve"> </w:t>
      </w:r>
    </w:p>
    <w:p w:rsidR="001D79C4" w:rsidRDefault="001D79C4" w:rsidP="001D79C4">
      <w:pPr>
        <w:numPr>
          <w:ilvl w:val="0"/>
          <w:numId w:val="5"/>
        </w:numPr>
        <w:spacing w:after="0" w:line="240" w:lineRule="auto"/>
        <w:ind w:left="1080"/>
        <w:contextualSpacing/>
        <w:rPr>
          <w:rFonts w:eastAsiaTheme="minorEastAsia"/>
        </w:rPr>
      </w:pPr>
      <w:r>
        <w:rPr>
          <w:rFonts w:eastAsiaTheme="minorEastAsia"/>
        </w:rPr>
        <w:t>Step 7:</w:t>
      </w:r>
      <w:r w:rsidRPr="001D79C4">
        <w:rPr>
          <w:rFonts w:eastAsiaTheme="minorEastAsia"/>
        </w:rPr>
        <w:t xml:space="preserve"> </w:t>
      </w:r>
      <w:r>
        <w:rPr>
          <w:rFonts w:eastAsiaTheme="minorEastAsia"/>
        </w:rPr>
        <w:t>S</w:t>
      </w:r>
      <w:r w:rsidRPr="001D79C4">
        <w:rPr>
          <w:rFonts w:eastAsiaTheme="minorEastAsia"/>
        </w:rPr>
        <w:t>ort the data by “Pollutant</w:t>
      </w:r>
      <w:r w:rsidR="009D1F46">
        <w:rPr>
          <w:rFonts w:eastAsiaTheme="minorEastAsia"/>
        </w:rPr>
        <w:t>.</w:t>
      </w:r>
      <w:r w:rsidRPr="001D79C4">
        <w:rPr>
          <w:rFonts w:eastAsiaTheme="minorEastAsia"/>
        </w:rPr>
        <w:t>”</w:t>
      </w:r>
      <w:r w:rsidR="009D1F46">
        <w:rPr>
          <w:rFonts w:eastAsiaTheme="minorEastAsia"/>
        </w:rPr>
        <w:t xml:space="preserve"> </w:t>
      </w:r>
      <w:r w:rsidRPr="001D79C4">
        <w:rPr>
          <w:rFonts w:eastAsiaTheme="minorEastAsia"/>
        </w:rPr>
        <w:t xml:space="preserve">Sum each pollutant in tons and enter into </w:t>
      </w:r>
      <w:r w:rsidR="009D1F46">
        <w:rPr>
          <w:rFonts w:eastAsiaTheme="minorEastAsia"/>
        </w:rPr>
        <w:t>the table on the NTD worksheet.</w:t>
      </w:r>
      <w:r w:rsidRPr="001D79C4">
        <w:rPr>
          <w:rFonts w:eastAsiaTheme="minorEastAsia"/>
        </w:rPr>
        <w:t xml:space="preserve"> Recommendation: use PM</w:t>
      </w:r>
      <w:r w:rsidRPr="001D79C4">
        <w:rPr>
          <w:rFonts w:eastAsiaTheme="minorEastAsia"/>
          <w:vertAlign w:val="subscript"/>
        </w:rPr>
        <w:t>10</w:t>
      </w:r>
      <w:r w:rsidRPr="001D79C4">
        <w:rPr>
          <w:rFonts w:eastAsiaTheme="minorEastAsia"/>
        </w:rPr>
        <w:t xml:space="preserve"> sum and not PM</w:t>
      </w:r>
      <w:r w:rsidRPr="001D79C4">
        <w:rPr>
          <w:rFonts w:eastAsiaTheme="minorEastAsia"/>
          <w:vertAlign w:val="subscript"/>
        </w:rPr>
        <w:t>2.5</w:t>
      </w:r>
      <w:r w:rsidRPr="001D79C4">
        <w:rPr>
          <w:rFonts w:eastAsiaTheme="minorEastAsia"/>
        </w:rPr>
        <w:t>.</w:t>
      </w:r>
    </w:p>
    <w:p w:rsidR="009D1F46" w:rsidRDefault="009D1F46" w:rsidP="009D1F46">
      <w:pPr>
        <w:spacing w:after="0" w:line="240" w:lineRule="auto"/>
        <w:contextualSpacing/>
        <w:rPr>
          <w:rFonts w:eastAsiaTheme="minorEastAsia"/>
        </w:rPr>
      </w:pPr>
    </w:p>
    <w:p w:rsidR="009D1F46" w:rsidRDefault="009D1F46" w:rsidP="009D1F46">
      <w:pPr>
        <w:spacing w:after="0" w:line="240" w:lineRule="auto"/>
        <w:ind w:left="360"/>
        <w:contextualSpacing/>
        <w:rPr>
          <w:rFonts w:eastAsiaTheme="minorEastAsia"/>
        </w:rPr>
      </w:pPr>
      <w:r>
        <w:rPr>
          <w:rFonts w:eastAsiaTheme="minorEastAsia"/>
        </w:rPr>
        <w:t xml:space="preserve">To access information about the nitrous oxide and </w:t>
      </w:r>
      <w:proofErr w:type="spellStart"/>
      <w:r>
        <w:rPr>
          <w:rFonts w:eastAsiaTheme="minorEastAsia"/>
        </w:rPr>
        <w:t>nonemethane</w:t>
      </w:r>
      <w:proofErr w:type="spellEnd"/>
      <w:r>
        <w:rPr>
          <w:rFonts w:eastAsiaTheme="minorEastAsia"/>
        </w:rPr>
        <w:t xml:space="preserve"> hydrocarbons, go to the </w:t>
      </w:r>
      <w:r w:rsidRPr="001D79C4">
        <w:rPr>
          <w:rFonts w:eastAsiaTheme="minorEastAsia"/>
        </w:rPr>
        <w:t xml:space="preserve">USEPA’s </w:t>
      </w:r>
      <w:r>
        <w:rPr>
          <w:rFonts w:eastAsiaTheme="minorEastAsia"/>
        </w:rPr>
        <w:t>2011 National Emissions Inventory</w:t>
      </w:r>
      <w:r w:rsidRPr="001D79C4">
        <w:rPr>
          <w:rFonts w:eastAsiaTheme="minorEastAsia"/>
        </w:rPr>
        <w:t xml:space="preserve"> (</w:t>
      </w:r>
      <w:hyperlink r:id="rId9" w:history="1">
        <w:r w:rsidRPr="00DB7CBB">
          <w:rPr>
            <w:rStyle w:val="Hyperlink"/>
          </w:rPr>
          <w:t>http://www3.epa.gov/ttn/chief/net/2011inventory.</w:t>
        </w:r>
        <w:r w:rsidRPr="00DB7CBB">
          <w:rPr>
            <w:rStyle w:val="Hyperlink"/>
          </w:rPr>
          <w:t>h</w:t>
        </w:r>
        <w:r w:rsidRPr="00DB7CBB">
          <w:rPr>
            <w:rStyle w:val="Hyperlink"/>
          </w:rPr>
          <w:t>tml</w:t>
        </w:r>
      </w:hyperlink>
      <w:r w:rsidRPr="001D79C4">
        <w:rPr>
          <w:rFonts w:eastAsiaTheme="minorEastAsia"/>
        </w:rPr>
        <w:t>)</w:t>
      </w:r>
      <w:r>
        <w:rPr>
          <w:rFonts w:eastAsiaTheme="minorEastAsia"/>
        </w:rPr>
        <w:t xml:space="preserve">. The section </w:t>
      </w:r>
      <w:r w:rsidRPr="001D79C4">
        <w:rPr>
          <w:rFonts w:eastAsiaTheme="minorEastAsia"/>
        </w:rPr>
        <w:t>“</w:t>
      </w:r>
      <w:r>
        <w:rPr>
          <w:rFonts w:eastAsiaTheme="minorEastAsia"/>
        </w:rPr>
        <w:t>Tier 1 Summaries” features information related to collecting the remaining emission data points:</w:t>
      </w:r>
    </w:p>
    <w:p w:rsidR="009D1F46" w:rsidRDefault="009D1F46" w:rsidP="009D1F46">
      <w:pPr>
        <w:numPr>
          <w:ilvl w:val="0"/>
          <w:numId w:val="5"/>
        </w:numPr>
        <w:spacing w:after="0" w:line="240" w:lineRule="auto"/>
        <w:ind w:left="1080"/>
        <w:contextualSpacing/>
        <w:rPr>
          <w:rFonts w:eastAsiaTheme="minorEastAsia"/>
        </w:rPr>
      </w:pPr>
      <w:r>
        <w:rPr>
          <w:rFonts w:eastAsiaTheme="minorEastAsia"/>
        </w:rPr>
        <w:t>Step 1: Under National / State / County or Tribe, select “State”</w:t>
      </w:r>
      <w:r w:rsidRPr="001D79C4">
        <w:rPr>
          <w:rFonts w:eastAsiaTheme="minorEastAsia"/>
        </w:rPr>
        <w:t xml:space="preserve">; </w:t>
      </w:r>
    </w:p>
    <w:p w:rsidR="009D1F46" w:rsidRDefault="009D1F46" w:rsidP="009D1F46">
      <w:pPr>
        <w:numPr>
          <w:ilvl w:val="0"/>
          <w:numId w:val="5"/>
        </w:numPr>
        <w:spacing w:after="0" w:line="240" w:lineRule="auto"/>
        <w:ind w:left="1080"/>
        <w:contextualSpacing/>
        <w:rPr>
          <w:rFonts w:eastAsiaTheme="minorEastAsia"/>
        </w:rPr>
      </w:pPr>
      <w:r>
        <w:rPr>
          <w:rFonts w:eastAsiaTheme="minorEastAsia"/>
        </w:rPr>
        <w:t>Step 2: Under Geographic Aggregation, select your state</w:t>
      </w:r>
      <w:r w:rsidRPr="001D79C4">
        <w:rPr>
          <w:rFonts w:eastAsiaTheme="minorEastAsia"/>
        </w:rPr>
        <w:t xml:space="preserve">; </w:t>
      </w:r>
    </w:p>
    <w:p w:rsidR="009D1F46" w:rsidRDefault="009D1F46" w:rsidP="009D1F46">
      <w:pPr>
        <w:numPr>
          <w:ilvl w:val="0"/>
          <w:numId w:val="5"/>
        </w:numPr>
        <w:spacing w:after="0" w:line="240" w:lineRule="auto"/>
        <w:ind w:left="1080"/>
        <w:contextualSpacing/>
        <w:rPr>
          <w:rFonts w:eastAsiaTheme="minorEastAsia"/>
        </w:rPr>
      </w:pPr>
      <w:r>
        <w:rPr>
          <w:rFonts w:eastAsiaTheme="minorEastAsia"/>
        </w:rPr>
        <w:t>Step 3: Under Pollutant, CTRL + click “CAP – Carbon Monoxide” and “CAP-Nitrous Oxides”;</w:t>
      </w:r>
    </w:p>
    <w:p w:rsidR="009D1F46" w:rsidRPr="009D1F46" w:rsidRDefault="009D1F46" w:rsidP="009D1F46">
      <w:pPr>
        <w:numPr>
          <w:ilvl w:val="0"/>
          <w:numId w:val="5"/>
        </w:numPr>
        <w:spacing w:after="0" w:line="240" w:lineRule="auto"/>
        <w:ind w:left="1080"/>
        <w:contextualSpacing/>
        <w:rPr>
          <w:rFonts w:eastAsiaTheme="minorEastAsia"/>
        </w:rPr>
      </w:pPr>
      <w:r>
        <w:rPr>
          <w:bCs/>
        </w:rPr>
        <w:lastRenderedPageBreak/>
        <w:t xml:space="preserve">Step 4: Under </w:t>
      </w:r>
      <w:r w:rsidRPr="009D1F46">
        <w:rPr>
          <w:bCs/>
        </w:rPr>
        <w:t>Tier 1 Category</w:t>
      </w:r>
      <w:r>
        <w:t>, select “Fuel Combustion – Electric Utility”;</w:t>
      </w:r>
    </w:p>
    <w:p w:rsidR="009D1F46" w:rsidRDefault="009D1F46" w:rsidP="009D1F46">
      <w:pPr>
        <w:numPr>
          <w:ilvl w:val="0"/>
          <w:numId w:val="5"/>
        </w:numPr>
        <w:spacing w:after="0" w:line="240" w:lineRule="auto"/>
        <w:ind w:left="1080"/>
        <w:contextualSpacing/>
        <w:rPr>
          <w:rFonts w:eastAsiaTheme="minorEastAsia"/>
        </w:rPr>
      </w:pPr>
      <w:r>
        <w:rPr>
          <w:rFonts w:eastAsiaTheme="minorEastAsia"/>
        </w:rPr>
        <w:t>Step 5: Click “Create CSV File”;</w:t>
      </w:r>
    </w:p>
    <w:p w:rsidR="009D1F46" w:rsidRPr="001D79C4" w:rsidRDefault="009D1F46" w:rsidP="009D1F46">
      <w:pPr>
        <w:numPr>
          <w:ilvl w:val="0"/>
          <w:numId w:val="5"/>
        </w:numPr>
        <w:spacing w:after="0" w:line="240" w:lineRule="auto"/>
        <w:ind w:left="1080"/>
        <w:contextualSpacing/>
        <w:rPr>
          <w:rFonts w:eastAsiaTheme="minorEastAsia"/>
        </w:rPr>
      </w:pPr>
      <w:r>
        <w:rPr>
          <w:rFonts w:eastAsiaTheme="minorEastAsia"/>
        </w:rPr>
        <w:t>Step 6: The resulting file will summarize each emission into a single data point under the “EMISSIONS_TONS” column. Enter each pollutant into the table on the NTD worksheet.</w:t>
      </w:r>
    </w:p>
    <w:p w:rsidR="001D79C4" w:rsidRDefault="001D79C4" w:rsidP="004D76D0">
      <w:pPr>
        <w:spacing w:after="0" w:line="240" w:lineRule="auto"/>
        <w:ind w:left="360"/>
      </w:pPr>
    </w:p>
    <w:p w:rsidR="00841045" w:rsidRDefault="00841045" w:rsidP="004D76D0">
      <w:pPr>
        <w:spacing w:after="0" w:line="240" w:lineRule="auto"/>
        <w:ind w:left="360"/>
      </w:pPr>
      <w:r>
        <w:t>The third table on the NTD worksheet contains emission rates for each mode of transportation.</w:t>
      </w:r>
      <w:r w:rsidR="00316656">
        <w:t xml:space="preserve"> </w:t>
      </w:r>
      <w:r>
        <w:t xml:space="preserve">The </w:t>
      </w:r>
      <w:r w:rsidRPr="00841045">
        <w:rPr>
          <w:highlight w:val="yellow"/>
        </w:rPr>
        <w:t>yellow</w:t>
      </w:r>
      <w:r>
        <w:t xml:space="preserve"> fields for “Bus – Diesel (grams/mile)”</w:t>
      </w:r>
      <w:r w:rsidR="000F7F2F">
        <w:t xml:space="preserve"> are determined, using APTA’s Standards Sustainability Metrics for Criteria Air Pollutants: Calculation Methods.</w:t>
      </w:r>
    </w:p>
    <w:p w:rsidR="00841045" w:rsidRDefault="00841045" w:rsidP="004D76D0">
      <w:pPr>
        <w:spacing w:after="0" w:line="240" w:lineRule="auto"/>
        <w:ind w:left="360"/>
      </w:pPr>
    </w:p>
    <w:p w:rsidR="00841045" w:rsidRDefault="00841045" w:rsidP="004D76D0">
      <w:pPr>
        <w:spacing w:after="0" w:line="240" w:lineRule="auto"/>
        <w:ind w:left="360"/>
      </w:pPr>
      <w:r w:rsidRPr="00841045">
        <w:rPr>
          <w:noProof/>
        </w:rPr>
        <w:drawing>
          <wp:inline distT="0" distB="0" distL="0" distR="0">
            <wp:extent cx="5943600" cy="9605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960582"/>
                    </a:xfrm>
                    <a:prstGeom prst="rect">
                      <a:avLst/>
                    </a:prstGeom>
                    <a:noFill/>
                    <a:ln>
                      <a:noFill/>
                    </a:ln>
                  </pic:spPr>
                </pic:pic>
              </a:graphicData>
            </a:graphic>
          </wp:inline>
        </w:drawing>
      </w:r>
    </w:p>
    <w:p w:rsidR="00841045" w:rsidRDefault="00841045" w:rsidP="004D76D0">
      <w:pPr>
        <w:spacing w:after="0" w:line="240" w:lineRule="auto"/>
        <w:ind w:left="360"/>
      </w:pPr>
    </w:p>
    <w:p w:rsidR="00841045" w:rsidRDefault="000F7F2F" w:rsidP="004D76D0">
      <w:pPr>
        <w:spacing w:after="0" w:line="240" w:lineRule="auto"/>
        <w:ind w:left="360"/>
      </w:pPr>
      <w:r>
        <w:t xml:space="preserve">The </w:t>
      </w:r>
      <w:r w:rsidRPr="000F7F2F">
        <w:rPr>
          <w:highlight w:val="yellow"/>
        </w:rPr>
        <w:t>yellow</w:t>
      </w:r>
      <w:r>
        <w:t xml:space="preserve"> fields for “Commuter Rail (grams/gallon)” are determined by inputting the values in the green fields </w:t>
      </w:r>
      <w:r w:rsidR="003D2FBF">
        <w:t>from the</w:t>
      </w:r>
      <w:r>
        <w:t xml:space="preserve"> table</w:t>
      </w:r>
      <w:r w:rsidR="003D2FBF">
        <w:t xml:space="preserve"> “Diesel Locomotive Line-Haul Emission Factors”</w:t>
      </w:r>
      <w:r>
        <w:t xml:space="preserve"> </w:t>
      </w:r>
      <w:r w:rsidR="003D2FBF">
        <w:t xml:space="preserve">of the criteria air pollutants </w:t>
      </w:r>
      <w:r>
        <w:t xml:space="preserve">for the </w:t>
      </w:r>
      <w:r w:rsidR="003D2FBF">
        <w:t>corresponding Tier of you</w:t>
      </w:r>
      <w:r w:rsidR="00070A98">
        <w:t>r</w:t>
      </w:r>
      <w:r w:rsidR="003D2FBF">
        <w:t xml:space="preserve"> locomotive fleet</w:t>
      </w:r>
      <w:r>
        <w:t>.</w:t>
      </w:r>
      <w:r w:rsidR="00316656">
        <w:t xml:space="preserve"> </w:t>
      </w:r>
      <w:r>
        <w:t>For fleets that have locomotives with multiple tier engines, a weighted value by the number of locomotive</w:t>
      </w:r>
      <w:r w:rsidR="00D43294">
        <w:t>s</w:t>
      </w:r>
      <w:r>
        <w:t xml:space="preserve"> in each tier may be used</w:t>
      </w:r>
      <w:r w:rsidR="003D2FBF">
        <w:t>;</w:t>
      </w:r>
      <w:r>
        <w:t xml:space="preserve"> or if the actual gallon consumption of each locomotive is known, th</w:t>
      </w:r>
      <w:r w:rsidR="00D43294">
        <w:t>e</w:t>
      </w:r>
      <w:r>
        <w:t xml:space="preserve">n the total grams for each </w:t>
      </w:r>
      <w:r w:rsidR="00D43294">
        <w:t xml:space="preserve">criteria air pollutant from each </w:t>
      </w:r>
      <w:r>
        <w:t>locomotive can be summed and divided by the total gallons of diesel consumed</w:t>
      </w:r>
      <w:r w:rsidR="003D2FBF">
        <w:t xml:space="preserve"> by the fleet</w:t>
      </w:r>
      <w:r>
        <w:t>.</w:t>
      </w:r>
    </w:p>
    <w:p w:rsidR="000F7F2F" w:rsidRDefault="000F7F2F" w:rsidP="004D76D0">
      <w:pPr>
        <w:spacing w:after="0" w:line="240" w:lineRule="auto"/>
        <w:ind w:left="360"/>
      </w:pPr>
    </w:p>
    <w:p w:rsidR="000F7F2F" w:rsidRDefault="000F7F2F" w:rsidP="004D76D0">
      <w:pPr>
        <w:spacing w:after="0" w:line="240" w:lineRule="auto"/>
        <w:ind w:left="360"/>
      </w:pPr>
      <w:r w:rsidRPr="000F7F2F">
        <w:rPr>
          <w:noProof/>
        </w:rPr>
        <w:drawing>
          <wp:inline distT="0" distB="0" distL="0" distR="0">
            <wp:extent cx="5943600" cy="948638"/>
            <wp:effectExtent l="19050" t="1905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948638"/>
                    </a:xfrm>
                    <a:prstGeom prst="rect">
                      <a:avLst/>
                    </a:prstGeom>
                    <a:noFill/>
                    <a:ln>
                      <a:solidFill>
                        <a:schemeClr val="tx1"/>
                      </a:solidFill>
                    </a:ln>
                  </pic:spPr>
                </pic:pic>
              </a:graphicData>
            </a:graphic>
          </wp:inline>
        </w:drawing>
      </w:r>
    </w:p>
    <w:p w:rsidR="00841045" w:rsidRDefault="00841045" w:rsidP="004D76D0">
      <w:pPr>
        <w:spacing w:after="0" w:line="240" w:lineRule="auto"/>
        <w:ind w:left="360"/>
      </w:pPr>
    </w:p>
    <w:p w:rsidR="000F7F2F" w:rsidRDefault="000F7F2F" w:rsidP="004D76D0">
      <w:pPr>
        <w:spacing w:after="0" w:line="240" w:lineRule="auto"/>
        <w:ind w:left="360"/>
      </w:pPr>
    </w:p>
    <w:p w:rsidR="000F7F2F" w:rsidRDefault="000F7F2F" w:rsidP="004D76D0">
      <w:pPr>
        <w:spacing w:after="0" w:line="240" w:lineRule="auto"/>
        <w:ind w:left="360"/>
      </w:pPr>
      <w:r>
        <w:t xml:space="preserve">The Quantifier tool enables the user to provide various data inputs that automatically calculates transit’s emissions and emissions credits based on what is provided. The tool contains </w:t>
      </w:r>
      <w:r w:rsidR="00A56F17">
        <w:t>ten</w:t>
      </w:r>
      <w:r>
        <w:t xml:space="preserve"> (1</w:t>
      </w:r>
      <w:r w:rsidR="00A56F17">
        <w:t>0</w:t>
      </w:r>
      <w:r>
        <w:t xml:space="preserve">) worksheets </w:t>
      </w:r>
      <w:r w:rsidR="00CA62E3">
        <w:t>(one for each transit mode) and 1 worksheet that summarizes the overall transit agency</w:t>
      </w:r>
      <w:r>
        <w:t>.</w:t>
      </w:r>
    </w:p>
    <w:p w:rsidR="000F7F2F" w:rsidRDefault="000F7F2F" w:rsidP="004D76D0">
      <w:pPr>
        <w:spacing w:after="0" w:line="240" w:lineRule="auto"/>
        <w:ind w:left="360"/>
      </w:pPr>
    </w:p>
    <w:tbl>
      <w:tblPr>
        <w:tblStyle w:val="TableGrid1"/>
        <w:tblW w:w="0" w:type="auto"/>
        <w:tblLook w:val="04A0" w:firstRow="1" w:lastRow="0" w:firstColumn="1" w:lastColumn="0" w:noHBand="0" w:noVBand="1"/>
      </w:tblPr>
      <w:tblGrid>
        <w:gridCol w:w="4674"/>
        <w:gridCol w:w="4676"/>
      </w:tblGrid>
      <w:tr w:rsidR="00CA62E3" w:rsidRPr="00CA62E3" w:rsidTr="003B06E7">
        <w:tc>
          <w:tcPr>
            <w:tcW w:w="4788" w:type="dxa"/>
          </w:tcPr>
          <w:p w:rsidR="00CA62E3" w:rsidRPr="00CA62E3" w:rsidRDefault="00CA62E3" w:rsidP="00CA62E3">
            <w:pPr>
              <w:numPr>
                <w:ilvl w:val="0"/>
                <w:numId w:val="6"/>
              </w:numPr>
              <w:contextualSpacing/>
            </w:pPr>
            <w:r w:rsidRPr="00CA62E3">
              <w:t>“Comm Rail – Diesel”</w:t>
            </w:r>
          </w:p>
        </w:tc>
        <w:tc>
          <w:tcPr>
            <w:tcW w:w="4788" w:type="dxa"/>
          </w:tcPr>
          <w:p w:rsidR="00CA62E3" w:rsidRPr="00CA62E3" w:rsidRDefault="00CA62E3" w:rsidP="00CA62E3">
            <w:pPr>
              <w:numPr>
                <w:ilvl w:val="0"/>
                <w:numId w:val="6"/>
              </w:numPr>
              <w:contextualSpacing/>
            </w:pPr>
            <w:r w:rsidRPr="00CA62E3">
              <w:t>“</w:t>
            </w:r>
            <w:r>
              <w:t>Fixed Route Bus</w:t>
            </w:r>
            <w:r w:rsidRPr="00CA62E3">
              <w:t>”</w:t>
            </w:r>
          </w:p>
        </w:tc>
      </w:tr>
      <w:tr w:rsidR="00CA62E3" w:rsidRPr="00CA62E3" w:rsidTr="003B06E7">
        <w:tc>
          <w:tcPr>
            <w:tcW w:w="4788" w:type="dxa"/>
          </w:tcPr>
          <w:p w:rsidR="00CA62E3" w:rsidRPr="00CA62E3" w:rsidRDefault="00CA62E3" w:rsidP="00CA62E3">
            <w:pPr>
              <w:numPr>
                <w:ilvl w:val="0"/>
                <w:numId w:val="6"/>
              </w:numPr>
              <w:contextualSpacing/>
            </w:pPr>
            <w:r w:rsidRPr="00CA62E3">
              <w:t>“Comm Rail – Electric”</w:t>
            </w:r>
          </w:p>
        </w:tc>
        <w:tc>
          <w:tcPr>
            <w:tcW w:w="4788" w:type="dxa"/>
          </w:tcPr>
          <w:p w:rsidR="00CA62E3" w:rsidRPr="00CA62E3" w:rsidRDefault="00CA62E3" w:rsidP="00CA62E3">
            <w:pPr>
              <w:numPr>
                <w:ilvl w:val="0"/>
                <w:numId w:val="6"/>
              </w:numPr>
              <w:contextualSpacing/>
            </w:pPr>
            <w:r w:rsidRPr="00CA62E3">
              <w:t>“</w:t>
            </w:r>
            <w:r>
              <w:t>Bus Rapid Transit</w:t>
            </w:r>
            <w:r w:rsidRPr="00CA62E3">
              <w:t>”</w:t>
            </w:r>
          </w:p>
        </w:tc>
      </w:tr>
      <w:tr w:rsidR="00CA62E3" w:rsidRPr="00CA62E3" w:rsidTr="003B06E7">
        <w:tc>
          <w:tcPr>
            <w:tcW w:w="4788" w:type="dxa"/>
          </w:tcPr>
          <w:p w:rsidR="00CA62E3" w:rsidRPr="00CA62E3" w:rsidRDefault="00CA62E3" w:rsidP="00CA62E3">
            <w:pPr>
              <w:numPr>
                <w:ilvl w:val="0"/>
                <w:numId w:val="6"/>
              </w:numPr>
              <w:contextualSpacing/>
            </w:pPr>
            <w:r w:rsidRPr="00CA62E3">
              <w:t>“Heavy Rail”</w:t>
            </w:r>
          </w:p>
        </w:tc>
        <w:tc>
          <w:tcPr>
            <w:tcW w:w="4788" w:type="dxa"/>
          </w:tcPr>
          <w:p w:rsidR="00CA62E3" w:rsidRPr="00CA62E3" w:rsidRDefault="00CA62E3" w:rsidP="00CA62E3">
            <w:pPr>
              <w:numPr>
                <w:ilvl w:val="0"/>
                <w:numId w:val="6"/>
              </w:numPr>
              <w:contextualSpacing/>
            </w:pPr>
            <w:r w:rsidRPr="00CA62E3">
              <w:t>“</w:t>
            </w:r>
            <w:r>
              <w:t>Commuter Bus</w:t>
            </w:r>
            <w:r w:rsidRPr="00CA62E3">
              <w:t>”</w:t>
            </w:r>
          </w:p>
        </w:tc>
      </w:tr>
      <w:tr w:rsidR="00CA62E3" w:rsidRPr="00CA62E3" w:rsidTr="003B06E7">
        <w:tc>
          <w:tcPr>
            <w:tcW w:w="4788" w:type="dxa"/>
          </w:tcPr>
          <w:p w:rsidR="00CA62E3" w:rsidRPr="00CA62E3" w:rsidRDefault="00CA62E3" w:rsidP="00CA62E3">
            <w:pPr>
              <w:numPr>
                <w:ilvl w:val="0"/>
                <w:numId w:val="6"/>
              </w:numPr>
              <w:contextualSpacing/>
            </w:pPr>
            <w:r w:rsidRPr="00CA62E3">
              <w:t>“Light Rail”</w:t>
            </w:r>
          </w:p>
        </w:tc>
        <w:tc>
          <w:tcPr>
            <w:tcW w:w="4788" w:type="dxa"/>
          </w:tcPr>
          <w:p w:rsidR="00CA62E3" w:rsidRPr="00CA62E3" w:rsidRDefault="00CA62E3" w:rsidP="00CA62E3">
            <w:pPr>
              <w:numPr>
                <w:ilvl w:val="0"/>
                <w:numId w:val="6"/>
              </w:numPr>
              <w:contextualSpacing/>
            </w:pPr>
            <w:r w:rsidRPr="00CA62E3">
              <w:t>“Vanpool”</w:t>
            </w:r>
          </w:p>
        </w:tc>
      </w:tr>
      <w:tr w:rsidR="00CA62E3" w:rsidRPr="00CA62E3" w:rsidTr="003B06E7">
        <w:tc>
          <w:tcPr>
            <w:tcW w:w="4788" w:type="dxa"/>
          </w:tcPr>
          <w:p w:rsidR="00CA62E3" w:rsidRPr="00CA62E3" w:rsidRDefault="00CA62E3" w:rsidP="00CA62E3">
            <w:pPr>
              <w:numPr>
                <w:ilvl w:val="0"/>
                <w:numId w:val="6"/>
              </w:numPr>
              <w:contextualSpacing/>
            </w:pPr>
            <w:r w:rsidRPr="00CA62E3">
              <w:t>“</w:t>
            </w:r>
            <w:r>
              <w:t>Streetcar</w:t>
            </w:r>
            <w:r w:rsidRPr="00CA62E3">
              <w:t>”</w:t>
            </w:r>
          </w:p>
        </w:tc>
        <w:tc>
          <w:tcPr>
            <w:tcW w:w="4788" w:type="dxa"/>
          </w:tcPr>
          <w:p w:rsidR="00CA62E3" w:rsidRPr="00CA62E3" w:rsidRDefault="00CA62E3" w:rsidP="00CA62E3">
            <w:pPr>
              <w:numPr>
                <w:ilvl w:val="0"/>
                <w:numId w:val="6"/>
              </w:numPr>
              <w:contextualSpacing/>
            </w:pPr>
            <w:r w:rsidRPr="00CA62E3">
              <w:t>“</w:t>
            </w:r>
            <w:r>
              <w:t>Transit Agency</w:t>
            </w:r>
            <w:r w:rsidRPr="00CA62E3">
              <w:t>”</w:t>
            </w:r>
          </w:p>
        </w:tc>
      </w:tr>
      <w:tr w:rsidR="00CA62E3" w:rsidRPr="00CA62E3" w:rsidTr="003B06E7">
        <w:tc>
          <w:tcPr>
            <w:tcW w:w="4788" w:type="dxa"/>
          </w:tcPr>
          <w:p w:rsidR="00CA62E3" w:rsidRPr="00CA62E3" w:rsidRDefault="00CA62E3" w:rsidP="00CA62E3">
            <w:pPr>
              <w:numPr>
                <w:ilvl w:val="0"/>
                <w:numId w:val="6"/>
              </w:numPr>
              <w:contextualSpacing/>
            </w:pPr>
            <w:r>
              <w:t>“Trolley Bus”</w:t>
            </w:r>
          </w:p>
        </w:tc>
        <w:tc>
          <w:tcPr>
            <w:tcW w:w="4788" w:type="dxa"/>
          </w:tcPr>
          <w:p w:rsidR="00CA62E3" w:rsidRPr="00CA62E3" w:rsidRDefault="00CA62E3" w:rsidP="00CA62E3">
            <w:pPr>
              <w:numPr>
                <w:ilvl w:val="0"/>
                <w:numId w:val="6"/>
              </w:numPr>
              <w:contextualSpacing/>
            </w:pPr>
          </w:p>
        </w:tc>
      </w:tr>
    </w:tbl>
    <w:p w:rsidR="00CA62E3" w:rsidRDefault="00CA62E3" w:rsidP="004D76D0">
      <w:pPr>
        <w:spacing w:after="0" w:line="240" w:lineRule="auto"/>
        <w:ind w:left="360"/>
      </w:pPr>
    </w:p>
    <w:p w:rsidR="00C61190" w:rsidRDefault="00CA62E3" w:rsidP="004D76D0">
      <w:pPr>
        <w:spacing w:after="0" w:line="240" w:lineRule="auto"/>
        <w:ind w:left="360"/>
      </w:pPr>
      <w:r>
        <w:t>Each</w:t>
      </w:r>
      <w:r w:rsidR="00C61190">
        <w:t xml:space="preserve"> worksheet </w:t>
      </w:r>
      <w:r>
        <w:t xml:space="preserve">has a table that </w:t>
      </w:r>
      <w:r w:rsidR="00C61190">
        <w:t>should be populated with data described in APTA’s Recommended Practice: Quantifying Greenhouse Gas Emissions from Transit.</w:t>
      </w:r>
    </w:p>
    <w:p w:rsidR="00CA62E3" w:rsidRDefault="00CA62E3" w:rsidP="004D76D0">
      <w:pPr>
        <w:spacing w:after="0" w:line="240" w:lineRule="auto"/>
        <w:ind w:left="360"/>
      </w:pPr>
    </w:p>
    <w:p w:rsidR="00CA62E3" w:rsidRDefault="00CA62E3" w:rsidP="00A56F17">
      <w:pPr>
        <w:spacing w:after="0" w:line="240" w:lineRule="auto"/>
        <w:ind w:left="360"/>
        <w:jc w:val="center"/>
      </w:pPr>
      <w:r w:rsidRPr="00CA62E3">
        <w:rPr>
          <w:noProof/>
        </w:rPr>
        <w:lastRenderedPageBreak/>
        <w:drawing>
          <wp:inline distT="0" distB="0" distL="0" distR="0">
            <wp:extent cx="2571750" cy="108284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1753" cy="1087054"/>
                    </a:xfrm>
                    <a:prstGeom prst="rect">
                      <a:avLst/>
                    </a:prstGeom>
                    <a:noFill/>
                    <a:ln>
                      <a:noFill/>
                    </a:ln>
                  </pic:spPr>
                </pic:pic>
              </a:graphicData>
            </a:graphic>
          </wp:inline>
        </w:drawing>
      </w:r>
      <w:bookmarkStart w:id="0" w:name="_GoBack"/>
      <w:bookmarkEnd w:id="0"/>
    </w:p>
    <w:p w:rsidR="00A56F17" w:rsidRDefault="00A56F17" w:rsidP="00A56F17">
      <w:pPr>
        <w:spacing w:after="0" w:line="240" w:lineRule="auto"/>
        <w:ind w:left="360"/>
      </w:pPr>
    </w:p>
    <w:p w:rsidR="00C61190" w:rsidRDefault="00C61190" w:rsidP="00C61190">
      <w:pPr>
        <w:pStyle w:val="ListParagraph"/>
        <w:numPr>
          <w:ilvl w:val="0"/>
          <w:numId w:val="4"/>
        </w:numPr>
        <w:spacing w:after="0" w:line="240" w:lineRule="auto"/>
      </w:pPr>
      <w:r w:rsidRPr="002B7C2E">
        <w:rPr>
          <w:b/>
        </w:rPr>
        <w:t>M</w:t>
      </w:r>
      <w:r w:rsidR="002B7C2E" w:rsidRPr="002B7C2E">
        <w:rPr>
          <w:b/>
        </w:rPr>
        <w:t>ode Shift (Ms)</w:t>
      </w:r>
      <w:r w:rsidR="002B7C2E">
        <w:t xml:space="preserve"> reflects those riders with access to a vehicle within an agency’s service area. The Ms </w:t>
      </w:r>
      <w:r w:rsidR="00A66450">
        <w:t>factor</w:t>
      </w:r>
      <w:r w:rsidR="002B7C2E">
        <w:t xml:space="preserve"> is expected to r</w:t>
      </w:r>
      <w:r w:rsidR="00A66450">
        <w:t>ise with an increase in population service area.</w:t>
      </w:r>
    </w:p>
    <w:p w:rsidR="00A66450" w:rsidRDefault="00A66450" w:rsidP="00A66450">
      <w:pPr>
        <w:pStyle w:val="ListParagraph"/>
        <w:spacing w:after="0" w:line="240" w:lineRule="auto"/>
        <w:ind w:left="1080"/>
      </w:pPr>
    </w:p>
    <w:tbl>
      <w:tblPr>
        <w:tblStyle w:val="TableGrid"/>
        <w:tblW w:w="0" w:type="auto"/>
        <w:tblInd w:w="1080" w:type="dxa"/>
        <w:tblLook w:val="04A0" w:firstRow="1" w:lastRow="0" w:firstColumn="1" w:lastColumn="0" w:noHBand="0" w:noVBand="1"/>
      </w:tblPr>
      <w:tblGrid>
        <w:gridCol w:w="2732"/>
        <w:gridCol w:w="2769"/>
        <w:gridCol w:w="2769"/>
      </w:tblGrid>
      <w:tr w:rsidR="00D36BC8" w:rsidTr="00A66450">
        <w:tc>
          <w:tcPr>
            <w:tcW w:w="3192" w:type="dxa"/>
          </w:tcPr>
          <w:p w:rsidR="00A66450" w:rsidRDefault="00D36BC8" w:rsidP="00D36BC8">
            <w:pPr>
              <w:pStyle w:val="ListParagraph"/>
              <w:ind w:left="0"/>
            </w:pPr>
            <w:r>
              <w:t>Service Area Type and Population</w:t>
            </w:r>
          </w:p>
        </w:tc>
        <w:tc>
          <w:tcPr>
            <w:tcW w:w="3192" w:type="dxa"/>
          </w:tcPr>
          <w:p w:rsidR="00A66450" w:rsidRDefault="00D36BC8" w:rsidP="00A66450">
            <w:pPr>
              <w:pStyle w:val="ListParagraph"/>
              <w:ind w:left="0"/>
            </w:pPr>
            <w:r>
              <w:t>Transit Performance Monitoring System (2002)</w:t>
            </w:r>
          </w:p>
        </w:tc>
        <w:tc>
          <w:tcPr>
            <w:tcW w:w="3192" w:type="dxa"/>
          </w:tcPr>
          <w:p w:rsidR="00A66450" w:rsidRDefault="00D36BC8" w:rsidP="00D36BC8">
            <w:pPr>
              <w:pStyle w:val="ListParagraph"/>
              <w:ind w:left="0"/>
            </w:pPr>
            <w:r>
              <w:t>Transit Performance Monitoring System (2004)</w:t>
            </w:r>
          </w:p>
        </w:tc>
      </w:tr>
      <w:tr w:rsidR="00D36BC8" w:rsidTr="00A66450">
        <w:tc>
          <w:tcPr>
            <w:tcW w:w="3192" w:type="dxa"/>
          </w:tcPr>
          <w:p w:rsidR="00A66450" w:rsidRDefault="00D36BC8" w:rsidP="00A66450">
            <w:pPr>
              <w:pStyle w:val="ListParagraph"/>
              <w:ind w:left="0"/>
            </w:pPr>
            <w:r>
              <w:t>All Systems</w:t>
            </w:r>
          </w:p>
        </w:tc>
        <w:tc>
          <w:tcPr>
            <w:tcW w:w="3192" w:type="dxa"/>
          </w:tcPr>
          <w:p w:rsidR="00A66450" w:rsidRDefault="00D36BC8" w:rsidP="00D36BC8">
            <w:pPr>
              <w:pStyle w:val="ListParagraph"/>
              <w:ind w:left="0"/>
              <w:jc w:val="center"/>
            </w:pPr>
            <w:r>
              <w:t>0.44</w:t>
            </w:r>
          </w:p>
        </w:tc>
        <w:tc>
          <w:tcPr>
            <w:tcW w:w="3192" w:type="dxa"/>
          </w:tcPr>
          <w:p w:rsidR="00A66450" w:rsidRDefault="00D36BC8" w:rsidP="00D36BC8">
            <w:pPr>
              <w:pStyle w:val="ListParagraph"/>
              <w:ind w:left="0"/>
              <w:jc w:val="center"/>
            </w:pPr>
            <w:r>
              <w:t>0.45</w:t>
            </w:r>
          </w:p>
        </w:tc>
      </w:tr>
      <w:tr w:rsidR="00D36BC8" w:rsidTr="00A66450">
        <w:tc>
          <w:tcPr>
            <w:tcW w:w="3192" w:type="dxa"/>
          </w:tcPr>
          <w:p w:rsidR="00A66450" w:rsidRDefault="00D36BC8" w:rsidP="00A66450">
            <w:pPr>
              <w:pStyle w:val="ListParagraph"/>
              <w:ind w:left="0"/>
            </w:pPr>
            <w:r>
              <w:t>Small, &lt;500,000</w:t>
            </w:r>
          </w:p>
        </w:tc>
        <w:tc>
          <w:tcPr>
            <w:tcW w:w="3192" w:type="dxa"/>
          </w:tcPr>
          <w:p w:rsidR="00A66450" w:rsidRDefault="00D36BC8" w:rsidP="00D36BC8">
            <w:pPr>
              <w:pStyle w:val="ListParagraph"/>
              <w:ind w:left="0"/>
              <w:jc w:val="center"/>
            </w:pPr>
            <w:r>
              <w:t>0.34</w:t>
            </w:r>
          </w:p>
        </w:tc>
        <w:tc>
          <w:tcPr>
            <w:tcW w:w="3192" w:type="dxa"/>
          </w:tcPr>
          <w:p w:rsidR="00A66450" w:rsidRDefault="00D36BC8" w:rsidP="00D36BC8">
            <w:pPr>
              <w:pStyle w:val="ListParagraph"/>
              <w:ind w:left="0"/>
              <w:jc w:val="center"/>
            </w:pPr>
            <w:r>
              <w:t>0.39</w:t>
            </w:r>
          </w:p>
        </w:tc>
      </w:tr>
      <w:tr w:rsidR="00D36BC8" w:rsidTr="00A66450">
        <w:tc>
          <w:tcPr>
            <w:tcW w:w="3192" w:type="dxa"/>
          </w:tcPr>
          <w:p w:rsidR="00A66450" w:rsidRDefault="00D36BC8" w:rsidP="00A66450">
            <w:pPr>
              <w:pStyle w:val="ListParagraph"/>
              <w:ind w:left="0"/>
            </w:pPr>
            <w:r>
              <w:t>Med. 500,000 – 1,250,000</w:t>
            </w:r>
          </w:p>
        </w:tc>
        <w:tc>
          <w:tcPr>
            <w:tcW w:w="3192" w:type="dxa"/>
          </w:tcPr>
          <w:p w:rsidR="00A66450" w:rsidRDefault="00D36BC8" w:rsidP="00D36BC8">
            <w:pPr>
              <w:pStyle w:val="ListParagraph"/>
              <w:ind w:left="0"/>
              <w:jc w:val="center"/>
            </w:pPr>
            <w:r>
              <w:t>0.42</w:t>
            </w:r>
          </w:p>
        </w:tc>
        <w:tc>
          <w:tcPr>
            <w:tcW w:w="3192" w:type="dxa"/>
          </w:tcPr>
          <w:p w:rsidR="00A66450" w:rsidRDefault="00D36BC8" w:rsidP="00D36BC8">
            <w:pPr>
              <w:pStyle w:val="ListParagraph"/>
              <w:ind w:left="0"/>
              <w:jc w:val="center"/>
            </w:pPr>
            <w:r>
              <w:t>0.43</w:t>
            </w:r>
          </w:p>
        </w:tc>
      </w:tr>
      <w:tr w:rsidR="00D36BC8" w:rsidTr="00A66450">
        <w:tc>
          <w:tcPr>
            <w:tcW w:w="3192" w:type="dxa"/>
          </w:tcPr>
          <w:p w:rsidR="00A66450" w:rsidRDefault="00D36BC8" w:rsidP="00A66450">
            <w:pPr>
              <w:pStyle w:val="ListParagraph"/>
              <w:ind w:left="0"/>
            </w:pPr>
            <w:r>
              <w:t>Large, &gt;1,250,000</w:t>
            </w:r>
          </w:p>
        </w:tc>
        <w:tc>
          <w:tcPr>
            <w:tcW w:w="3192" w:type="dxa"/>
          </w:tcPr>
          <w:p w:rsidR="00A66450" w:rsidRDefault="00D36BC8" w:rsidP="00D36BC8">
            <w:pPr>
              <w:pStyle w:val="ListParagraph"/>
              <w:ind w:left="0"/>
              <w:jc w:val="center"/>
            </w:pPr>
            <w:r>
              <w:t>0.47</w:t>
            </w:r>
          </w:p>
        </w:tc>
        <w:tc>
          <w:tcPr>
            <w:tcW w:w="3192" w:type="dxa"/>
          </w:tcPr>
          <w:p w:rsidR="00A66450" w:rsidRDefault="00D36BC8" w:rsidP="00D36BC8">
            <w:pPr>
              <w:pStyle w:val="ListParagraph"/>
              <w:ind w:left="0"/>
              <w:jc w:val="center"/>
            </w:pPr>
            <w:r>
              <w:t>0.50</w:t>
            </w:r>
          </w:p>
        </w:tc>
      </w:tr>
      <w:tr w:rsidR="00D36BC8" w:rsidTr="00A66450">
        <w:tc>
          <w:tcPr>
            <w:tcW w:w="3192" w:type="dxa"/>
          </w:tcPr>
          <w:p w:rsidR="00A66450" w:rsidRDefault="00D36BC8" w:rsidP="00A66450">
            <w:pPr>
              <w:pStyle w:val="ListParagraph"/>
              <w:ind w:left="0"/>
            </w:pPr>
            <w:r>
              <w:t>Lg. Suburban, &gt;1,250,000</w:t>
            </w:r>
          </w:p>
        </w:tc>
        <w:tc>
          <w:tcPr>
            <w:tcW w:w="3192" w:type="dxa"/>
          </w:tcPr>
          <w:p w:rsidR="00A66450" w:rsidRDefault="00D36BC8" w:rsidP="00D36BC8">
            <w:pPr>
              <w:pStyle w:val="ListParagraph"/>
              <w:ind w:left="0"/>
              <w:jc w:val="center"/>
            </w:pPr>
            <w:r>
              <w:t>0.44</w:t>
            </w:r>
          </w:p>
        </w:tc>
        <w:tc>
          <w:tcPr>
            <w:tcW w:w="3192" w:type="dxa"/>
          </w:tcPr>
          <w:p w:rsidR="00A66450" w:rsidRDefault="00D36BC8" w:rsidP="00D36BC8">
            <w:pPr>
              <w:pStyle w:val="ListParagraph"/>
              <w:ind w:left="0"/>
              <w:jc w:val="center"/>
            </w:pPr>
            <w:r>
              <w:t>0.52</w:t>
            </w:r>
          </w:p>
        </w:tc>
      </w:tr>
    </w:tbl>
    <w:p w:rsidR="00A66450" w:rsidRDefault="00A66450" w:rsidP="00A66450">
      <w:pPr>
        <w:pStyle w:val="ListParagraph"/>
        <w:spacing w:after="0" w:line="240" w:lineRule="auto"/>
        <w:ind w:left="1080"/>
      </w:pPr>
    </w:p>
    <w:p w:rsidR="00A66450" w:rsidRDefault="00D36BC8" w:rsidP="00D36BC8">
      <w:pPr>
        <w:pStyle w:val="ListParagraph"/>
        <w:numPr>
          <w:ilvl w:val="0"/>
          <w:numId w:val="4"/>
        </w:numPr>
        <w:spacing w:after="0" w:line="240" w:lineRule="auto"/>
      </w:pPr>
      <w:r>
        <w:rPr>
          <w:b/>
        </w:rPr>
        <w:t>Congestion Relief (Cr)</w:t>
      </w:r>
      <w:r>
        <w:t xml:space="preserve"> </w:t>
      </w:r>
      <w:r w:rsidR="0017400E">
        <w:t>is the estimated additional fuel that would be consumed if public transportation service were discontinued.</w:t>
      </w:r>
      <w:r w:rsidR="00316656">
        <w:t xml:space="preserve"> </w:t>
      </w:r>
      <w:r w:rsidR="0017400E">
        <w:t>The Texas Transportation Institute’s Urban Mobility Report lists the data in the Ms Excel field “Condition if Public Transportation Service were Discontinued – Additional Waste</w:t>
      </w:r>
      <w:r w:rsidR="003D2FBF">
        <w:t>d</w:t>
      </w:r>
      <w:r w:rsidR="0017400E">
        <w:t xml:space="preserve"> Fuel (1000 gals)” for service area type and 101 urban cities.</w:t>
      </w:r>
      <w:r w:rsidR="00316656">
        <w:t xml:space="preserve"> You are welcome to use 2011 TTI figures for your analysis since there is no more recent data available.</w:t>
      </w:r>
    </w:p>
    <w:p w:rsidR="0017400E" w:rsidRDefault="0017400E" w:rsidP="00D36BC8">
      <w:pPr>
        <w:pStyle w:val="ListParagraph"/>
        <w:numPr>
          <w:ilvl w:val="0"/>
          <w:numId w:val="4"/>
        </w:numPr>
        <w:spacing w:after="0" w:line="240" w:lineRule="auto"/>
      </w:pPr>
      <w:r>
        <w:rPr>
          <w:b/>
        </w:rPr>
        <w:t>Land-Use Multiplier</w:t>
      </w:r>
      <w:r>
        <w:t xml:space="preserve"> the indirect impacts of transit that reduce vehicle travel by: 1) reduced trip lengths; 2) facilitation of bicycle and pedestrian travel; 3) trip chaining; and 4) impacts through vehicle ownership. The national default multiplier is 1.9</w:t>
      </w:r>
      <w:r w:rsidR="003D52E1">
        <w:t xml:space="preserve"> by ICF International.</w:t>
      </w:r>
    </w:p>
    <w:p w:rsidR="003D52E1" w:rsidRDefault="003D52E1" w:rsidP="00D36BC8">
      <w:pPr>
        <w:pStyle w:val="ListParagraph"/>
        <w:numPr>
          <w:ilvl w:val="0"/>
          <w:numId w:val="4"/>
        </w:numPr>
        <w:spacing w:after="0" w:line="240" w:lineRule="auto"/>
      </w:pPr>
      <w:r>
        <w:rPr>
          <w:b/>
        </w:rPr>
        <w:t>Average Vehicle Occupancy</w:t>
      </w:r>
      <w:r>
        <w:t xml:space="preserve"> of 1.39 is based on the National Household Travel Survey.</w:t>
      </w:r>
    </w:p>
    <w:p w:rsidR="00A56F17" w:rsidRDefault="00A56F17" w:rsidP="00D36BC8">
      <w:pPr>
        <w:pStyle w:val="ListParagraph"/>
        <w:numPr>
          <w:ilvl w:val="0"/>
          <w:numId w:val="4"/>
        </w:numPr>
        <w:spacing w:after="0" w:line="240" w:lineRule="auto"/>
      </w:pPr>
      <w:r>
        <w:rPr>
          <w:b/>
        </w:rPr>
        <w:t>Pounds / Tons</w:t>
      </w:r>
      <w:r>
        <w:t xml:space="preserve"> by entering 453.6 grams/lbs or 907200 grams/ton all graphs will update to report emissions in pounds or tons. This conversion is useful for small agencies or projects.</w:t>
      </w:r>
    </w:p>
    <w:p w:rsidR="00EF636B" w:rsidRDefault="00A56F17" w:rsidP="00EF636B">
      <w:pPr>
        <w:pStyle w:val="ListParagraph"/>
        <w:numPr>
          <w:ilvl w:val="0"/>
          <w:numId w:val="4"/>
        </w:numPr>
        <w:spacing w:after="0" w:line="240" w:lineRule="auto"/>
      </w:pPr>
      <w:r>
        <w:rPr>
          <w:b/>
        </w:rPr>
        <w:t xml:space="preserve">Ridership Increase % </w:t>
      </w:r>
      <w:r>
        <w:t>allows the user to input an increase in rider ship that will be graphed along with the agency’s performance, current ridership and seat capacity offered.</w:t>
      </w:r>
      <w:r w:rsidR="00316656">
        <w:t xml:space="preserve"> </w:t>
      </w:r>
      <w:r w:rsidR="003D2FBF">
        <w:rPr>
          <w:b/>
          <w:i/>
        </w:rPr>
        <w:t>Note:</w:t>
      </w:r>
      <w:r w:rsidR="003D2FBF">
        <w:t xml:space="preserve"> Changes in ridership are only calculated for mode shift and land-use multiplier.</w:t>
      </w:r>
      <w:r w:rsidR="00316656">
        <w:t xml:space="preserve"> </w:t>
      </w:r>
      <w:r w:rsidR="003D2FBF">
        <w:t>There are no changes to congestion relief, as this</w:t>
      </w:r>
      <w:r w:rsidR="001C7474">
        <w:t xml:space="preserve"> relationship</w:t>
      </w:r>
      <w:r w:rsidR="003D2FBF">
        <w:t xml:space="preserve"> has not been established.</w:t>
      </w:r>
    </w:p>
    <w:p w:rsidR="00EF636B" w:rsidRDefault="00EF636B" w:rsidP="00EF636B">
      <w:pPr>
        <w:spacing w:after="0" w:line="240" w:lineRule="auto"/>
      </w:pPr>
    </w:p>
    <w:p w:rsidR="00EF636B" w:rsidRDefault="00EF636B" w:rsidP="00EF636B">
      <w:pPr>
        <w:spacing w:after="0" w:line="240" w:lineRule="auto"/>
      </w:pPr>
      <w:r>
        <w:t xml:space="preserve">All </w:t>
      </w:r>
      <w:r w:rsidRPr="00EF636B">
        <w:rPr>
          <w:color w:val="FFFFFF" w:themeColor="background1"/>
          <w:highlight w:val="blue"/>
        </w:rPr>
        <w:t>BLUE</w:t>
      </w:r>
      <w:r>
        <w:t xml:space="preserve"> fields are calculated </w:t>
      </w:r>
      <w:r w:rsidR="00C41A72">
        <w:t>outputs that contain pollutant emissions by the transit agency (debit).</w:t>
      </w:r>
    </w:p>
    <w:p w:rsidR="00C41A72" w:rsidRDefault="00C41A72" w:rsidP="00EF636B">
      <w:pPr>
        <w:spacing w:after="0" w:line="240" w:lineRule="auto"/>
      </w:pPr>
      <w:r>
        <w:t xml:space="preserve">All </w:t>
      </w:r>
      <w:r w:rsidRPr="00C41A72">
        <w:rPr>
          <w:highlight w:val="green"/>
        </w:rPr>
        <w:t>GREEN</w:t>
      </w:r>
      <w:r>
        <w:t xml:space="preserve"> fields are pollutant emissions </w:t>
      </w:r>
      <w:r w:rsidR="00B11DBE">
        <w:t xml:space="preserve">not emitted </w:t>
      </w:r>
      <w:r>
        <w:t>from passenger</w:t>
      </w:r>
      <w:r w:rsidR="00B11DBE">
        <w:t xml:space="preserve"> vehicles</w:t>
      </w:r>
      <w:r>
        <w:t>, who choose transit over driving</w:t>
      </w:r>
      <w:r w:rsidR="00B11DBE">
        <w:t>, and</w:t>
      </w:r>
      <w:r w:rsidR="00B11DBE" w:rsidRPr="00B11DBE">
        <w:t xml:space="preserve"> </w:t>
      </w:r>
      <w:r w:rsidR="00B11DBE">
        <w:t>pollutant emissions by seat capacity for each mode offered by the transit agency (credit)</w:t>
      </w:r>
      <w:r>
        <w:t>.</w:t>
      </w:r>
    </w:p>
    <w:p w:rsidR="00C41A72" w:rsidRDefault="00C41A72" w:rsidP="00EF636B">
      <w:pPr>
        <w:spacing w:after="0" w:line="240" w:lineRule="auto"/>
      </w:pPr>
      <w:r>
        <w:t xml:space="preserve">All </w:t>
      </w:r>
      <w:r w:rsidRPr="00C41A72">
        <w:rPr>
          <w:highlight w:val="yellow"/>
        </w:rPr>
        <w:t>YELLOW</w:t>
      </w:r>
      <w:r>
        <w:t xml:space="preserve"> fields are open for user input or adjustment to demonstrate variations in ridership or land-use multiplier. Note: Graphs will automatically adjust when inputs are made.</w:t>
      </w:r>
    </w:p>
    <w:p w:rsidR="00A56F17" w:rsidRDefault="00A56F17" w:rsidP="00EF636B">
      <w:pPr>
        <w:spacing w:after="0" w:line="240" w:lineRule="auto"/>
      </w:pPr>
      <w:r>
        <w:t>Each criteria air pollutant, greenhouse gases and gasoline gallon equivalents saved are graphed individually. Additionally, criteria air pollutants (NO</w:t>
      </w:r>
      <w:r w:rsidR="0024292A">
        <w:rPr>
          <w:vertAlign w:val="subscript"/>
        </w:rPr>
        <w:t>X</w:t>
      </w:r>
      <w:r>
        <w:t>, HC, CO, PM, SO</w:t>
      </w:r>
      <w:r w:rsidRPr="0024292A">
        <w:rPr>
          <w:vertAlign w:val="subscript"/>
        </w:rPr>
        <w:t>2</w:t>
      </w:r>
      <w:r>
        <w:t>) are summarized in a graph, as well.</w:t>
      </w:r>
    </w:p>
    <w:p w:rsidR="00C41A72" w:rsidRDefault="00C41A72" w:rsidP="00C41A72">
      <w:pPr>
        <w:spacing w:after="0" w:line="240" w:lineRule="auto"/>
      </w:pPr>
    </w:p>
    <w:p w:rsidR="00316656" w:rsidRDefault="00316656" w:rsidP="00C41A72">
      <w:pPr>
        <w:spacing w:after="0" w:line="240" w:lineRule="auto"/>
      </w:pPr>
    </w:p>
    <w:p w:rsidR="00316656" w:rsidRDefault="00316656" w:rsidP="00C41A72">
      <w:pPr>
        <w:spacing w:after="0" w:line="240" w:lineRule="auto"/>
      </w:pPr>
    </w:p>
    <w:p w:rsidR="00316656" w:rsidRDefault="00316656" w:rsidP="00C41A72">
      <w:pPr>
        <w:spacing w:after="0" w:line="240" w:lineRule="auto"/>
      </w:pPr>
    </w:p>
    <w:p w:rsidR="007F5E70" w:rsidRDefault="007F5E70" w:rsidP="00C41A72">
      <w:pPr>
        <w:spacing w:after="0" w:line="240" w:lineRule="auto"/>
      </w:pPr>
      <w:r>
        <w:rPr>
          <w:b/>
        </w:rPr>
        <w:lastRenderedPageBreak/>
        <w:t>Worksheet Specific Data Entry</w:t>
      </w:r>
    </w:p>
    <w:p w:rsidR="007F5E70" w:rsidRDefault="007F5E70" w:rsidP="00C41A72">
      <w:pPr>
        <w:spacing w:after="0" w:line="240" w:lineRule="auto"/>
      </w:pPr>
    </w:p>
    <w:p w:rsidR="00812CAA" w:rsidRDefault="007F5E70" w:rsidP="00C41A72">
      <w:pPr>
        <w:spacing w:after="0" w:line="240" w:lineRule="auto"/>
      </w:pPr>
      <w:r>
        <w:t>For agencies that operate diesel locomotives for commuter rail service there are entry fields to upgrade a percentage of your fleet to Tier 1, 2, 3 or 4.</w:t>
      </w:r>
    </w:p>
    <w:p w:rsidR="00812CAA" w:rsidRDefault="00812CAA" w:rsidP="00C41A72">
      <w:pPr>
        <w:spacing w:after="0" w:line="240" w:lineRule="auto"/>
      </w:pPr>
    </w:p>
    <w:p w:rsidR="00812CAA" w:rsidRDefault="00812CAA" w:rsidP="00C41A72">
      <w:pPr>
        <w:spacing w:after="0" w:line="240" w:lineRule="auto"/>
      </w:pPr>
      <w:r>
        <w:rPr>
          <w:b/>
        </w:rPr>
        <w:t>Step</w:t>
      </w:r>
      <w:r w:rsidR="00C34867">
        <w:rPr>
          <w:b/>
        </w:rPr>
        <w:t xml:space="preserve"> </w:t>
      </w:r>
      <w:r>
        <w:rPr>
          <w:b/>
        </w:rPr>
        <w:t>1:</w:t>
      </w:r>
      <w:r>
        <w:tab/>
        <w:t xml:space="preserve">Enter a Tier in the </w:t>
      </w:r>
      <w:r w:rsidRPr="00812CAA">
        <w:rPr>
          <w:highlight w:val="yellow"/>
        </w:rPr>
        <w:t>YELLOW</w:t>
      </w:r>
      <w:r>
        <w:t xml:space="preserve"> field to the right of the “Tier” field.</w:t>
      </w:r>
    </w:p>
    <w:p w:rsidR="00812CAA" w:rsidRDefault="00812CAA" w:rsidP="00C41A72">
      <w:pPr>
        <w:spacing w:after="0" w:line="240" w:lineRule="auto"/>
      </w:pPr>
      <w:r>
        <w:rPr>
          <w:b/>
        </w:rPr>
        <w:t>Step 2:</w:t>
      </w:r>
      <w:r>
        <w:rPr>
          <w:b/>
        </w:rPr>
        <w:tab/>
      </w:r>
      <w:r w:rsidRPr="00812CAA">
        <w:t>E</w:t>
      </w:r>
      <w:r>
        <w:t xml:space="preserve">nter a percent of your fleet in the </w:t>
      </w:r>
      <w:r w:rsidRPr="00812CAA">
        <w:rPr>
          <w:highlight w:val="yellow"/>
        </w:rPr>
        <w:t>YELLOW</w:t>
      </w:r>
      <w:r>
        <w:t xml:space="preserve"> field to the right of the “Fleet Change” field.</w:t>
      </w:r>
    </w:p>
    <w:p w:rsidR="00812CAA" w:rsidRDefault="00812CAA" w:rsidP="00C41A72">
      <w:pPr>
        <w:spacing w:after="0" w:line="240" w:lineRule="auto"/>
      </w:pPr>
    </w:p>
    <w:p w:rsidR="007F5E70" w:rsidRDefault="00812CAA" w:rsidP="00C41A72">
      <w:pPr>
        <w:spacing w:after="0" w:line="240" w:lineRule="auto"/>
      </w:pPr>
      <w:r>
        <w:t xml:space="preserve">This will replace </w:t>
      </w:r>
      <w:r w:rsidR="00643C7F">
        <w:t>a</w:t>
      </w:r>
      <w:r>
        <w:t xml:space="preserve"> percentage of your current fleet with the tier that you entered in Step 1.</w:t>
      </w:r>
      <w:r w:rsidR="00316656">
        <w:t xml:space="preserve"> </w:t>
      </w:r>
      <w:r>
        <w:t xml:space="preserve">Your </w:t>
      </w:r>
      <w:proofErr w:type="gramStart"/>
      <w:r>
        <w:t>remaining</w:t>
      </w:r>
      <w:proofErr w:type="gramEnd"/>
      <w:r>
        <w:t xml:space="preserve"> fleet will produce emissions based on the emission factors that you entered in the “NTD” worksheet.</w:t>
      </w:r>
      <w:r w:rsidR="00316656">
        <w:t xml:space="preserve"> </w:t>
      </w:r>
      <w:r>
        <w:t>Fuel consumption will remain constant for the entire fleet</w:t>
      </w:r>
      <w:r w:rsidR="00643C7F">
        <w:t xml:space="preserve">, which </w:t>
      </w:r>
      <w:r>
        <w:t>assumes the current amount of your commuter rail service.</w:t>
      </w:r>
    </w:p>
    <w:p w:rsidR="00812CAA" w:rsidRDefault="00812CAA" w:rsidP="00C41A72">
      <w:pPr>
        <w:spacing w:after="0" w:line="240" w:lineRule="auto"/>
      </w:pPr>
    </w:p>
    <w:p w:rsidR="007F5E70" w:rsidRDefault="007F5E70" w:rsidP="00C41A72">
      <w:pPr>
        <w:spacing w:after="0" w:line="240" w:lineRule="auto"/>
      </w:pPr>
      <w:r>
        <w:tab/>
      </w:r>
      <w:r>
        <w:rPr>
          <w:i/>
        </w:rPr>
        <w:t>“Commuter Rail – Diesel”</w:t>
      </w:r>
      <w:r>
        <w:rPr>
          <w:i/>
        </w:rPr>
        <w:tab/>
      </w:r>
      <w:r>
        <w:rPr>
          <w:i/>
        </w:rPr>
        <w:tab/>
      </w:r>
      <w:r>
        <w:rPr>
          <w:i/>
        </w:rPr>
        <w:tab/>
        <w:t>“Transit Agency”</w:t>
      </w:r>
    </w:p>
    <w:p w:rsidR="007F5E70" w:rsidRPr="007F5E70" w:rsidRDefault="007F5E70" w:rsidP="00C41A72">
      <w:pPr>
        <w:spacing w:after="0" w:line="240" w:lineRule="auto"/>
      </w:pPr>
      <w:r w:rsidRPr="007F5E70">
        <w:rPr>
          <w:noProof/>
        </w:rPr>
        <w:drawing>
          <wp:inline distT="0" distB="0" distL="0" distR="0">
            <wp:extent cx="2139457" cy="1152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9278" cy="1173976"/>
                    </a:xfrm>
                    <a:prstGeom prst="rect">
                      <a:avLst/>
                    </a:prstGeom>
                    <a:noFill/>
                    <a:ln>
                      <a:noFill/>
                    </a:ln>
                  </pic:spPr>
                </pic:pic>
              </a:graphicData>
            </a:graphic>
          </wp:inline>
        </w:drawing>
      </w:r>
      <w:r>
        <w:tab/>
      </w:r>
      <w:r w:rsidRPr="007F5E70">
        <w:rPr>
          <w:noProof/>
        </w:rPr>
        <w:drawing>
          <wp:inline distT="0" distB="0" distL="0" distR="0">
            <wp:extent cx="3648075" cy="508595"/>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71752" cy="511896"/>
                    </a:xfrm>
                    <a:prstGeom prst="rect">
                      <a:avLst/>
                    </a:prstGeom>
                    <a:noFill/>
                    <a:ln>
                      <a:noFill/>
                    </a:ln>
                  </pic:spPr>
                </pic:pic>
              </a:graphicData>
            </a:graphic>
          </wp:inline>
        </w:drawing>
      </w:r>
    </w:p>
    <w:p w:rsidR="007F5E70" w:rsidRDefault="007F5E70" w:rsidP="00C41A72">
      <w:pPr>
        <w:spacing w:after="0" w:line="240" w:lineRule="auto"/>
      </w:pPr>
    </w:p>
    <w:p w:rsidR="00812CAA" w:rsidRDefault="00812CAA" w:rsidP="00C41A72">
      <w:pPr>
        <w:spacing w:after="0" w:line="240" w:lineRule="auto"/>
      </w:pPr>
      <w:r>
        <w:t xml:space="preserve">For agencies that operate fixed route bus (MB), </w:t>
      </w:r>
      <w:r w:rsidR="00643C7F">
        <w:t>bus rapid transit (BR), commuter bus (CB), or vanpool (VP) service there are fields to make changes to your fleet, as to fuel type.</w:t>
      </w:r>
      <w:r w:rsidR="00316656">
        <w:t xml:space="preserve"> </w:t>
      </w:r>
      <w:r w:rsidR="00643C7F">
        <w:t>The example presented here is for fixed route bus.</w:t>
      </w:r>
    </w:p>
    <w:p w:rsidR="00C34867" w:rsidRDefault="00C34867" w:rsidP="00C41A72">
      <w:pPr>
        <w:spacing w:after="0" w:line="240" w:lineRule="auto"/>
      </w:pPr>
    </w:p>
    <w:p w:rsidR="00C34867" w:rsidRDefault="00C34867" w:rsidP="00C41A72">
      <w:pPr>
        <w:spacing w:after="0" w:line="240" w:lineRule="auto"/>
      </w:pPr>
      <w:r>
        <w:rPr>
          <w:b/>
        </w:rPr>
        <w:t>Step 1:</w:t>
      </w:r>
      <w:r>
        <w:rPr>
          <w:b/>
        </w:rPr>
        <w:tab/>
      </w:r>
      <w:r>
        <w:t xml:space="preserve">Enter a % in the </w:t>
      </w:r>
      <w:r w:rsidRPr="00812CAA">
        <w:rPr>
          <w:highlight w:val="yellow"/>
        </w:rPr>
        <w:t>YELLOW</w:t>
      </w:r>
      <w:r>
        <w:t xml:space="preserve"> field to the right of the “CNG”, “diesel”, and/or “Electric” field.</w:t>
      </w:r>
    </w:p>
    <w:p w:rsidR="00C34867" w:rsidRPr="001A25B2" w:rsidRDefault="00C34867" w:rsidP="00C34867">
      <w:pPr>
        <w:spacing w:after="0" w:line="240" w:lineRule="auto"/>
        <w:ind w:left="720" w:hanging="720"/>
      </w:pPr>
      <w:r>
        <w:rPr>
          <w:b/>
        </w:rPr>
        <w:t>Step 2:</w:t>
      </w:r>
      <w:r>
        <w:tab/>
      </w:r>
      <w:r w:rsidR="001A25B2">
        <w:t xml:space="preserve">If you do </w:t>
      </w:r>
      <w:r w:rsidR="001A25B2" w:rsidRPr="001A25B2">
        <w:rPr>
          <w:b/>
        </w:rPr>
        <w:t>NOT</w:t>
      </w:r>
      <w:r w:rsidR="001A25B2">
        <w:t xml:space="preserve"> operate a bus type that you entered a %</w:t>
      </w:r>
      <w:r w:rsidR="001C7474">
        <w:t xml:space="preserve"> for in step 1</w:t>
      </w:r>
      <w:r w:rsidR="001A25B2">
        <w:t xml:space="preserve">, then </w:t>
      </w:r>
      <w:r w:rsidR="004136E3">
        <w:t xml:space="preserve">you must </w:t>
      </w:r>
      <w:r w:rsidR="001A25B2">
        <w:t>e</w:t>
      </w:r>
      <w:r w:rsidRPr="001A25B2">
        <w:t>nter</w:t>
      </w:r>
      <w:r>
        <w:t xml:space="preserve"> a</w:t>
      </w:r>
      <w:r w:rsidR="001A25B2">
        <w:t>n</w:t>
      </w:r>
      <w:r>
        <w:t xml:space="preserve"> mpg in the </w:t>
      </w:r>
      <w:r w:rsidRPr="00C34867">
        <w:rPr>
          <w:highlight w:val="yellow"/>
        </w:rPr>
        <w:t>YELLOW</w:t>
      </w:r>
      <w:r>
        <w:t xml:space="preserve"> field adjacent to the “CNG”, “diesel”, and/or “Electric” field (maybe adjacent to the “%” field).</w:t>
      </w:r>
      <w:r w:rsidR="00316656">
        <w:t xml:space="preserve"> </w:t>
      </w:r>
      <w:r>
        <w:t>For electric use kWh/mile.</w:t>
      </w:r>
      <w:r w:rsidR="00316656">
        <w:t xml:space="preserve"> </w:t>
      </w:r>
      <w:r>
        <w:t>There are literature values</w:t>
      </w:r>
      <w:r>
        <w:rPr>
          <w:vertAlign w:val="superscript"/>
        </w:rPr>
        <w:t>2</w:t>
      </w:r>
      <w:r>
        <w:t xml:space="preserve"> for mpg (e.g. CNG = 3.5 mpg (GGE), Diesel = 4.4 mpg, Electric = 3.2 kWh/mile).</w:t>
      </w:r>
      <w:r w:rsidR="001A25B2">
        <w:t xml:space="preserve"> </w:t>
      </w:r>
      <w:r w:rsidR="001A25B2">
        <w:rPr>
          <w:b/>
          <w:i/>
        </w:rPr>
        <w:t>Note:</w:t>
      </w:r>
      <w:r w:rsidR="001A25B2">
        <w:t xml:space="preserve"> </w:t>
      </w:r>
      <w:r w:rsidR="004136E3">
        <w:t>If you enter a % for a fuel type already in your fleet, t</w:t>
      </w:r>
      <w:r w:rsidR="001A25B2">
        <w:t>he Quantifier will calculate an mpg based on the performance of your current fleet of that fuel type</w:t>
      </w:r>
      <w:r w:rsidR="001C7474">
        <w:t xml:space="preserve">, but not display it in the </w:t>
      </w:r>
      <w:r w:rsidR="001C7474" w:rsidRPr="001C7474">
        <w:rPr>
          <w:highlight w:val="yellow"/>
        </w:rPr>
        <w:t>YELLOW</w:t>
      </w:r>
      <w:r w:rsidR="001C7474">
        <w:t xml:space="preserve"> field</w:t>
      </w:r>
      <w:r w:rsidR="004136E3">
        <w:t xml:space="preserve"> for mpg</w:t>
      </w:r>
      <w:r w:rsidR="001A25B2">
        <w:t>.</w:t>
      </w:r>
    </w:p>
    <w:p w:rsidR="00C34867" w:rsidRDefault="00C34867" w:rsidP="00C34867">
      <w:pPr>
        <w:spacing w:after="0" w:line="240" w:lineRule="auto"/>
        <w:ind w:left="720" w:hanging="720"/>
      </w:pPr>
    </w:p>
    <w:p w:rsidR="004136E3" w:rsidRDefault="00C34867" w:rsidP="00C34867">
      <w:pPr>
        <w:spacing w:after="0" w:line="240" w:lineRule="auto"/>
      </w:pPr>
      <w:r>
        <w:t>This will replace a percentage of your current fleet with the % that you entered in Step 1.</w:t>
      </w:r>
      <w:r w:rsidR="00316656">
        <w:t xml:space="preserve"> </w:t>
      </w:r>
      <w:r>
        <w:t>Your remaining fleet will produce emissions based on the emission factors in the “NTD” worksheet.</w:t>
      </w:r>
      <w:r w:rsidR="00316656">
        <w:t xml:space="preserve"> </w:t>
      </w:r>
      <w:r>
        <w:t>Vehicle miles will remain constant for the entire fleet, which assumes the current amount of your service.</w:t>
      </w:r>
      <w:r w:rsidR="00316656">
        <w:t xml:space="preserve"> </w:t>
      </w:r>
    </w:p>
    <w:p w:rsidR="004136E3" w:rsidRDefault="004136E3" w:rsidP="00C34867">
      <w:pPr>
        <w:spacing w:after="0" w:line="240" w:lineRule="auto"/>
      </w:pPr>
    </w:p>
    <w:p w:rsidR="00C34867" w:rsidRDefault="004136E3" w:rsidP="00C34867">
      <w:pPr>
        <w:spacing w:after="0" w:line="240" w:lineRule="auto"/>
      </w:pPr>
      <w:r>
        <w:t>As stated in Step2, y</w:t>
      </w:r>
      <w:r w:rsidR="001A25B2">
        <w:t>ou can enter a % for a fleet type not currently in your fleet</w:t>
      </w:r>
      <w:r>
        <w:t>.</w:t>
      </w:r>
      <w:r w:rsidR="00316656">
        <w:t xml:space="preserve"> </w:t>
      </w:r>
      <w:r w:rsidR="001A25B2">
        <w:t>Again, the Quantifier will replace a portion of your fleet with the new type of bus, as if you had them, using the mpg you entered in step 2.</w:t>
      </w:r>
      <w:r w:rsidR="00316656">
        <w:t xml:space="preserve"> </w:t>
      </w:r>
      <w:r w:rsidR="001A25B2">
        <w:t>If you enter a % change for diesel buses, the Quantifier assumes that you are purchasing new diesel buses and will use the most current emission rates for EPA’s “clean” diesel buses</w:t>
      </w:r>
      <w:r w:rsidR="001C7474">
        <w:t xml:space="preserve"> (i.e. NOx = 0.86 gr/mile, PM = 0.0468 gr/mile)</w:t>
      </w:r>
      <w:r w:rsidR="001A25B2">
        <w:t>.</w:t>
      </w:r>
    </w:p>
    <w:p w:rsidR="00643C7F" w:rsidRDefault="00643C7F" w:rsidP="00C41A72">
      <w:pPr>
        <w:spacing w:after="0" w:line="240" w:lineRule="auto"/>
      </w:pPr>
    </w:p>
    <w:p w:rsidR="00316656" w:rsidRDefault="00316656" w:rsidP="00C41A72">
      <w:pPr>
        <w:spacing w:after="0" w:line="240" w:lineRule="auto"/>
      </w:pPr>
    </w:p>
    <w:p w:rsidR="00316656" w:rsidRDefault="00316656" w:rsidP="00C41A72">
      <w:pPr>
        <w:spacing w:after="0" w:line="240" w:lineRule="auto"/>
      </w:pPr>
    </w:p>
    <w:p w:rsidR="00316656" w:rsidRDefault="00316656" w:rsidP="00C41A72">
      <w:pPr>
        <w:spacing w:after="0" w:line="240" w:lineRule="auto"/>
      </w:pPr>
    </w:p>
    <w:p w:rsidR="00316656" w:rsidRDefault="00316656" w:rsidP="00C41A72">
      <w:pPr>
        <w:spacing w:after="0" w:line="240" w:lineRule="auto"/>
      </w:pPr>
    </w:p>
    <w:p w:rsidR="00643C7F" w:rsidRDefault="00643C7F" w:rsidP="00C41A72">
      <w:pPr>
        <w:spacing w:after="0" w:line="240" w:lineRule="auto"/>
      </w:pPr>
      <w:r>
        <w:lastRenderedPageBreak/>
        <w:tab/>
      </w:r>
      <w:r>
        <w:rPr>
          <w:i/>
        </w:rPr>
        <w:t>“Fixed Route Bus”</w:t>
      </w:r>
      <w:r>
        <w:rPr>
          <w:i/>
        </w:rPr>
        <w:tab/>
      </w:r>
      <w:r>
        <w:rPr>
          <w:i/>
        </w:rPr>
        <w:tab/>
      </w:r>
      <w:r>
        <w:rPr>
          <w:i/>
        </w:rPr>
        <w:tab/>
      </w:r>
      <w:r>
        <w:rPr>
          <w:i/>
        </w:rPr>
        <w:tab/>
        <w:t>“Transit Agency”</w:t>
      </w:r>
    </w:p>
    <w:p w:rsidR="00643C7F" w:rsidRPr="00643C7F" w:rsidRDefault="00643C7F" w:rsidP="00C41A72">
      <w:pPr>
        <w:spacing w:after="0" w:line="240" w:lineRule="auto"/>
      </w:pPr>
      <w:r w:rsidRPr="00643C7F">
        <w:rPr>
          <w:noProof/>
        </w:rPr>
        <w:drawing>
          <wp:inline distT="0" distB="0" distL="0" distR="0">
            <wp:extent cx="2538437" cy="1104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8141" cy="1113476"/>
                    </a:xfrm>
                    <a:prstGeom prst="rect">
                      <a:avLst/>
                    </a:prstGeom>
                    <a:noFill/>
                    <a:ln>
                      <a:noFill/>
                    </a:ln>
                  </pic:spPr>
                </pic:pic>
              </a:graphicData>
            </a:graphic>
          </wp:inline>
        </w:drawing>
      </w:r>
      <w:r>
        <w:tab/>
      </w:r>
      <w:r w:rsidRPr="00643C7F">
        <w:rPr>
          <w:noProof/>
        </w:rPr>
        <w:drawing>
          <wp:inline distT="0" distB="0" distL="0" distR="0">
            <wp:extent cx="3179121" cy="77152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1584" cy="784257"/>
                    </a:xfrm>
                    <a:prstGeom prst="rect">
                      <a:avLst/>
                    </a:prstGeom>
                    <a:noFill/>
                    <a:ln>
                      <a:noFill/>
                    </a:ln>
                  </pic:spPr>
                </pic:pic>
              </a:graphicData>
            </a:graphic>
          </wp:inline>
        </w:drawing>
      </w:r>
    </w:p>
    <w:p w:rsidR="00812CAA" w:rsidRDefault="00812CAA" w:rsidP="00C41A72">
      <w:pPr>
        <w:spacing w:after="0" w:line="240" w:lineRule="auto"/>
      </w:pPr>
    </w:p>
    <w:p w:rsidR="00643C7F" w:rsidRDefault="00643C7F" w:rsidP="00C41A72">
      <w:pPr>
        <w:spacing w:after="0" w:line="240" w:lineRule="auto"/>
      </w:pPr>
    </w:p>
    <w:p w:rsidR="00643C7F" w:rsidRDefault="00643C7F" w:rsidP="00C41A72">
      <w:pPr>
        <w:spacing w:after="0" w:line="240" w:lineRule="auto"/>
      </w:pPr>
    </w:p>
    <w:p w:rsidR="00C41A72" w:rsidRDefault="00C41A72" w:rsidP="00C41A72">
      <w:pPr>
        <w:spacing w:after="0" w:line="240" w:lineRule="auto"/>
      </w:pPr>
      <w:r>
        <w:rPr>
          <w:b/>
        </w:rPr>
        <w:t>The Transit Emissions Quantifier Tool</w:t>
      </w:r>
    </w:p>
    <w:p w:rsidR="00C41A72" w:rsidRPr="00C41A72" w:rsidRDefault="00C41A72" w:rsidP="00C41A72">
      <w:pPr>
        <w:spacing w:after="0" w:line="240" w:lineRule="auto"/>
      </w:pPr>
    </w:p>
    <w:p w:rsidR="00C41A72" w:rsidRDefault="00C41A72" w:rsidP="00C41A72">
      <w:pPr>
        <w:spacing w:after="0" w:line="240" w:lineRule="auto"/>
      </w:pPr>
      <w:r>
        <w:t xml:space="preserve">The Quantifier is provided to support transportation agencies across the nation in their efforts to accurately measure pollutant emissions. The tool builds on previous APTA research and publications, specifically, APTA’s </w:t>
      </w:r>
      <w:r w:rsidRPr="009D4451">
        <w:rPr>
          <w:i/>
        </w:rPr>
        <w:t>Recommended Practices for Quantifying Greenhouse Gas Emissions from Transi</w:t>
      </w:r>
      <w:r>
        <w:rPr>
          <w:i/>
        </w:rPr>
        <w:t>t</w:t>
      </w:r>
      <w:r>
        <w:t>, published in 2009. This 2009 guidance document contains detailed explanations of GHG and criteria air pollutant calculations from transportation, as well as an in-depth discussion of accounting for emissions credits.</w:t>
      </w:r>
    </w:p>
    <w:p w:rsidR="00C41A72" w:rsidRDefault="00C41A72" w:rsidP="00C41A72">
      <w:pPr>
        <w:spacing w:after="0" w:line="240" w:lineRule="auto"/>
      </w:pPr>
    </w:p>
    <w:p w:rsidR="00C41A72" w:rsidRDefault="00C41A72" w:rsidP="00C41A72">
      <w:pPr>
        <w:spacing w:after="0" w:line="240" w:lineRule="auto"/>
      </w:pPr>
      <w:r>
        <w:t>The Quantifier is intended to compliment the 2009 Recommended Practice. APTA is distributing this tool to reduce the time and effort needed for this effort, and to facilitate emissions accounting in a manner consistent with the 2009 Recommended Practice. The CCWG strongly recommends using this tool in tandem with the 2009 Recommended Practice to ensure a full understanding of the calculations involved, the baseline assumptions, and the reasoning for including emissions credits.</w:t>
      </w:r>
    </w:p>
    <w:p w:rsidR="00C41A72" w:rsidRDefault="00C41A72" w:rsidP="00C41A72">
      <w:pPr>
        <w:spacing w:after="0" w:line="240" w:lineRule="auto"/>
      </w:pPr>
    </w:p>
    <w:p w:rsidR="00282C38" w:rsidRDefault="00282C38" w:rsidP="00C41A72">
      <w:pPr>
        <w:spacing w:after="0" w:line="240" w:lineRule="auto"/>
      </w:pPr>
      <w:r>
        <w:rPr>
          <w:b/>
          <w:i/>
        </w:rPr>
        <w:t>References:</w:t>
      </w:r>
    </w:p>
    <w:p w:rsidR="00282C38" w:rsidRDefault="00282C38" w:rsidP="00C41A72">
      <w:pPr>
        <w:spacing w:after="0" w:line="240" w:lineRule="auto"/>
      </w:pPr>
    </w:p>
    <w:p w:rsidR="00282C38" w:rsidRPr="00282C38" w:rsidRDefault="00282C38" w:rsidP="00282C38">
      <w:pPr>
        <w:spacing w:after="0" w:line="240" w:lineRule="auto"/>
        <w:rPr>
          <w:rFonts w:ascii="Calibri" w:eastAsia="Times New Roman" w:hAnsi="Calibri" w:cs="Times New Roman"/>
          <w:color w:val="000000"/>
        </w:rPr>
      </w:pPr>
      <w:r w:rsidRPr="00282C38">
        <w:rPr>
          <w:rFonts w:ascii="Calibri" w:eastAsia="Times New Roman" w:hAnsi="Calibri" w:cs="Times New Roman"/>
          <w:color w:val="000000"/>
        </w:rPr>
        <w:t>1) 20120227-Diesel_vs_CNG_FINAL_MJBD.pdf, www.mjbradley.com</w:t>
      </w:r>
    </w:p>
    <w:p w:rsidR="00282C38" w:rsidRPr="00282C38" w:rsidRDefault="00282C38" w:rsidP="00C41A72">
      <w:pPr>
        <w:spacing w:after="0" w:line="240" w:lineRule="auto"/>
      </w:pPr>
    </w:p>
    <w:p w:rsidR="00282C38" w:rsidRDefault="00282C38" w:rsidP="00282C38">
      <w:pPr>
        <w:spacing w:after="0" w:line="240" w:lineRule="auto"/>
        <w:rPr>
          <w:rFonts w:ascii="Calibri" w:eastAsia="Times New Roman" w:hAnsi="Calibri" w:cs="Times New Roman"/>
          <w:color w:val="000000"/>
        </w:rPr>
      </w:pPr>
      <w:r w:rsidRPr="00282C38">
        <w:rPr>
          <w:rFonts w:ascii="Calibri" w:eastAsia="Times New Roman" w:hAnsi="Calibri" w:cs="Times New Roman"/>
          <w:color w:val="000000"/>
        </w:rPr>
        <w:t>2) Guidebook For Evaluating Fuel Choices For Post-2010 Transit Bus Procurement, TCRP Report 146, Library of Congress Control Number 2011929842</w:t>
      </w:r>
    </w:p>
    <w:p w:rsidR="00282C38" w:rsidRPr="00282C38" w:rsidRDefault="00282C38" w:rsidP="00282C38">
      <w:pPr>
        <w:spacing w:after="0" w:line="240" w:lineRule="auto"/>
        <w:rPr>
          <w:rFonts w:ascii="Calibri" w:eastAsia="Times New Roman" w:hAnsi="Calibri" w:cs="Times New Roman"/>
          <w:color w:val="000000"/>
        </w:rPr>
      </w:pPr>
    </w:p>
    <w:p w:rsidR="00282C38" w:rsidRDefault="00282C38" w:rsidP="00282C38">
      <w:pPr>
        <w:spacing w:after="0" w:line="240" w:lineRule="auto"/>
        <w:rPr>
          <w:rFonts w:ascii="Calibri" w:eastAsia="Times New Roman" w:hAnsi="Calibri" w:cs="Times New Roman"/>
          <w:color w:val="000000"/>
        </w:rPr>
      </w:pPr>
      <w:r w:rsidRPr="00282C38">
        <w:rPr>
          <w:rFonts w:ascii="Calibri" w:eastAsia="Times New Roman" w:hAnsi="Calibri" w:cs="Times New Roman"/>
          <w:color w:val="000000"/>
        </w:rPr>
        <w:t>3) Full Fuel Cycle Assessment: Well-To-Wheels Inputs, Emissions, And Water Impacts, TIAX LLC, June 2007, CEC-600-2007-004-F</w:t>
      </w:r>
    </w:p>
    <w:p w:rsidR="00282C38" w:rsidRDefault="00282C38" w:rsidP="00282C38">
      <w:pPr>
        <w:spacing w:after="0" w:line="240" w:lineRule="auto"/>
        <w:rPr>
          <w:rFonts w:ascii="Calibri" w:eastAsia="Times New Roman" w:hAnsi="Calibri" w:cs="Times New Roman"/>
          <w:color w:val="000000"/>
        </w:rPr>
      </w:pPr>
    </w:p>
    <w:p w:rsidR="00282C38" w:rsidRDefault="00282C38" w:rsidP="00282C38">
      <w:pPr>
        <w:spacing w:after="0" w:line="240" w:lineRule="auto"/>
        <w:rPr>
          <w:rFonts w:ascii="Calibri" w:eastAsia="Times New Roman" w:hAnsi="Calibri" w:cs="Times New Roman"/>
          <w:color w:val="000000"/>
        </w:rPr>
      </w:pPr>
      <w:r w:rsidRPr="00282C38">
        <w:rPr>
          <w:rFonts w:ascii="Calibri" w:eastAsia="Times New Roman" w:hAnsi="Calibri" w:cs="Times New Roman"/>
          <w:color w:val="000000"/>
        </w:rPr>
        <w:t>4) Quantifying Greenhouse Gas Emissions from Transit, APTA SUDS-CC-RP-001-09</w:t>
      </w:r>
    </w:p>
    <w:p w:rsidR="00282C38" w:rsidRPr="00282C38" w:rsidRDefault="00282C38" w:rsidP="00282C38">
      <w:pPr>
        <w:spacing w:after="0" w:line="240" w:lineRule="auto"/>
        <w:rPr>
          <w:rFonts w:ascii="Calibri" w:eastAsia="Times New Roman" w:hAnsi="Calibri" w:cs="Times New Roman"/>
          <w:color w:val="000000"/>
        </w:rPr>
      </w:pPr>
    </w:p>
    <w:p w:rsidR="00282C38" w:rsidRPr="00282C38" w:rsidRDefault="00282C38" w:rsidP="00282C38">
      <w:pPr>
        <w:spacing w:after="0" w:line="240" w:lineRule="auto"/>
        <w:rPr>
          <w:rFonts w:ascii="Calibri" w:eastAsia="Times New Roman" w:hAnsi="Calibri" w:cs="Times New Roman"/>
        </w:rPr>
      </w:pPr>
      <w:r w:rsidRPr="00282C38">
        <w:rPr>
          <w:rFonts w:ascii="Calibri" w:eastAsia="Times New Roman" w:hAnsi="Calibri" w:cs="Times New Roman"/>
        </w:rPr>
        <w:t>5) EGRID2012V1_0_year09_DATA.xls</w:t>
      </w:r>
    </w:p>
    <w:p w:rsidR="00C41A72" w:rsidRDefault="00C41A72" w:rsidP="00C41A72">
      <w:pPr>
        <w:spacing w:after="0" w:line="240" w:lineRule="auto"/>
      </w:pPr>
    </w:p>
    <w:p w:rsidR="00282C38" w:rsidRPr="00282C38" w:rsidRDefault="00282C38" w:rsidP="00282C38">
      <w:pPr>
        <w:spacing w:after="0" w:line="240" w:lineRule="auto"/>
        <w:rPr>
          <w:rFonts w:ascii="Calibri" w:eastAsia="Times New Roman" w:hAnsi="Calibri" w:cs="Times New Roman"/>
          <w:color w:val="000000"/>
        </w:rPr>
      </w:pPr>
      <w:r w:rsidRPr="00282C38">
        <w:rPr>
          <w:rFonts w:ascii="Calibri" w:eastAsia="Times New Roman" w:hAnsi="Calibri" w:cs="Times New Roman"/>
          <w:color w:val="000000"/>
        </w:rPr>
        <w:t>6) http://mobility.tamu.edu/ums/ Excel spreadsheet - 101 urban areas</w:t>
      </w:r>
    </w:p>
    <w:p w:rsidR="00282C38" w:rsidRDefault="00282C38" w:rsidP="00C41A72">
      <w:pPr>
        <w:spacing w:after="0" w:line="240" w:lineRule="auto"/>
      </w:pPr>
    </w:p>
    <w:p w:rsidR="00282C38" w:rsidRPr="00282C38" w:rsidRDefault="00282C38" w:rsidP="00282C38">
      <w:pPr>
        <w:spacing w:after="0" w:line="240" w:lineRule="auto"/>
        <w:rPr>
          <w:rFonts w:ascii="Calibri" w:eastAsia="Times New Roman" w:hAnsi="Calibri" w:cs="Times New Roman"/>
          <w:color w:val="000000"/>
        </w:rPr>
      </w:pPr>
      <w:r w:rsidRPr="00282C38">
        <w:rPr>
          <w:rFonts w:ascii="Calibri" w:eastAsia="Times New Roman" w:hAnsi="Calibri" w:cs="Times New Roman"/>
          <w:color w:val="000000"/>
        </w:rPr>
        <w:t xml:space="preserve">7) http://www.epa.gov/air/emissions/where.htm </w:t>
      </w:r>
    </w:p>
    <w:p w:rsidR="00282C38" w:rsidRDefault="00282C38" w:rsidP="00C41A72">
      <w:pPr>
        <w:spacing w:after="0" w:line="240" w:lineRule="auto"/>
      </w:pPr>
    </w:p>
    <w:p w:rsidR="00282C38" w:rsidRPr="00282C38" w:rsidRDefault="00282C38" w:rsidP="00C41A72">
      <w:pPr>
        <w:spacing w:after="0" w:line="240" w:lineRule="auto"/>
        <w:rPr>
          <w:rFonts w:ascii="Calibri" w:eastAsia="Times New Roman" w:hAnsi="Calibri" w:cs="Times New Roman"/>
          <w:color w:val="000000"/>
        </w:rPr>
      </w:pPr>
      <w:r w:rsidRPr="00282C38">
        <w:rPr>
          <w:rFonts w:ascii="Calibri" w:eastAsia="Times New Roman" w:hAnsi="Calibri" w:cs="Times New Roman"/>
          <w:color w:val="000000"/>
        </w:rPr>
        <w:t>8) Average Annual Emissions and Fuel Consumption for Gasoline-Fueled Passenger Cars and Light Trucks, Office of Transportat</w:t>
      </w:r>
      <w:r w:rsidR="0024292A">
        <w:rPr>
          <w:rFonts w:ascii="Calibri" w:eastAsia="Times New Roman" w:hAnsi="Calibri" w:cs="Times New Roman"/>
          <w:color w:val="000000"/>
        </w:rPr>
        <w:t>ion and Air Quality, EPA420-F-08</w:t>
      </w:r>
      <w:r w:rsidRPr="00282C38">
        <w:rPr>
          <w:rFonts w:ascii="Calibri" w:eastAsia="Times New Roman" w:hAnsi="Calibri" w:cs="Times New Roman"/>
          <w:color w:val="000000"/>
        </w:rPr>
        <w:t>-02</w:t>
      </w:r>
      <w:r w:rsidR="0024292A">
        <w:rPr>
          <w:rFonts w:ascii="Calibri" w:eastAsia="Times New Roman" w:hAnsi="Calibri" w:cs="Times New Roman"/>
          <w:color w:val="000000"/>
        </w:rPr>
        <w:t>4</w:t>
      </w:r>
      <w:r w:rsidRPr="00282C38">
        <w:rPr>
          <w:rFonts w:ascii="Calibri" w:eastAsia="Times New Roman" w:hAnsi="Calibri" w:cs="Times New Roman"/>
          <w:color w:val="000000"/>
        </w:rPr>
        <w:t xml:space="preserve">, </w:t>
      </w:r>
      <w:r w:rsidR="0024292A">
        <w:rPr>
          <w:rFonts w:ascii="Calibri" w:eastAsia="Times New Roman" w:hAnsi="Calibri" w:cs="Times New Roman"/>
          <w:color w:val="000000"/>
        </w:rPr>
        <w:t>October</w:t>
      </w:r>
      <w:r w:rsidRPr="00282C38">
        <w:rPr>
          <w:rFonts w:ascii="Calibri" w:eastAsia="Times New Roman" w:hAnsi="Calibri" w:cs="Times New Roman"/>
          <w:color w:val="000000"/>
        </w:rPr>
        <w:t xml:space="preserve"> 200</w:t>
      </w:r>
      <w:r w:rsidR="0024292A">
        <w:rPr>
          <w:rFonts w:ascii="Calibri" w:eastAsia="Times New Roman" w:hAnsi="Calibri" w:cs="Times New Roman"/>
          <w:color w:val="000000"/>
        </w:rPr>
        <w:t>8</w:t>
      </w:r>
    </w:p>
    <w:sectPr w:rsidR="00282C38" w:rsidRPr="00282C38" w:rsidSect="005C3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7E55"/>
    <w:multiLevelType w:val="hybridMultilevel"/>
    <w:tmpl w:val="C7AEDA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D6A9C"/>
    <w:multiLevelType w:val="hybridMultilevel"/>
    <w:tmpl w:val="5A36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866DE"/>
    <w:multiLevelType w:val="hybridMultilevel"/>
    <w:tmpl w:val="5D14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24F09"/>
    <w:multiLevelType w:val="hybridMultilevel"/>
    <w:tmpl w:val="AF7CAB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3006F"/>
    <w:multiLevelType w:val="hybridMultilevel"/>
    <w:tmpl w:val="8F342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64653A"/>
    <w:multiLevelType w:val="hybridMultilevel"/>
    <w:tmpl w:val="7A5CAA3C"/>
    <w:lvl w:ilvl="0" w:tplc="A202B4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ED7FE2"/>
    <w:multiLevelType w:val="hybridMultilevel"/>
    <w:tmpl w:val="B2B6807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6476477B"/>
    <w:multiLevelType w:val="hybridMultilevel"/>
    <w:tmpl w:val="EE94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22426A"/>
    <w:multiLevelType w:val="hybridMultilevel"/>
    <w:tmpl w:val="159A06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7"/>
  </w:num>
  <w:num w:numId="4">
    <w:abstractNumId w:val="8"/>
  </w:num>
  <w:num w:numId="5">
    <w:abstractNumId w:val="4"/>
  </w:num>
  <w:num w:numId="6">
    <w:abstractNumId w:val="1"/>
  </w:num>
  <w:num w:numId="7">
    <w:abstractNumId w:val="0"/>
  </w:num>
  <w:num w:numId="8">
    <w:abstractNumId w:val="3"/>
  </w:num>
  <w:num w:numId="9">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894"/>
    <w:rsid w:val="00001C28"/>
    <w:rsid w:val="00004892"/>
    <w:rsid w:val="000373D8"/>
    <w:rsid w:val="00056577"/>
    <w:rsid w:val="00070A98"/>
    <w:rsid w:val="00073D93"/>
    <w:rsid w:val="000F7F2F"/>
    <w:rsid w:val="00122C23"/>
    <w:rsid w:val="00140739"/>
    <w:rsid w:val="001420DE"/>
    <w:rsid w:val="0017400E"/>
    <w:rsid w:val="001A25B2"/>
    <w:rsid w:val="001B4621"/>
    <w:rsid w:val="001C7474"/>
    <w:rsid w:val="001D79C4"/>
    <w:rsid w:val="0024292A"/>
    <w:rsid w:val="00282C38"/>
    <w:rsid w:val="00297D88"/>
    <w:rsid w:val="002B7C2E"/>
    <w:rsid w:val="002D1A9E"/>
    <w:rsid w:val="003042AA"/>
    <w:rsid w:val="00316656"/>
    <w:rsid w:val="00331691"/>
    <w:rsid w:val="00331F2E"/>
    <w:rsid w:val="003578A8"/>
    <w:rsid w:val="003A28CB"/>
    <w:rsid w:val="003B06E7"/>
    <w:rsid w:val="003B3144"/>
    <w:rsid w:val="003D2FBF"/>
    <w:rsid w:val="003D52E1"/>
    <w:rsid w:val="004136E3"/>
    <w:rsid w:val="00437B44"/>
    <w:rsid w:val="00492FE4"/>
    <w:rsid w:val="004D76D0"/>
    <w:rsid w:val="004F596B"/>
    <w:rsid w:val="00531E4E"/>
    <w:rsid w:val="005429D2"/>
    <w:rsid w:val="005C37FA"/>
    <w:rsid w:val="00623894"/>
    <w:rsid w:val="00643C7F"/>
    <w:rsid w:val="00683A10"/>
    <w:rsid w:val="00797307"/>
    <w:rsid w:val="007C7015"/>
    <w:rsid w:val="007F5E70"/>
    <w:rsid w:val="00804BBF"/>
    <w:rsid w:val="00812CAA"/>
    <w:rsid w:val="00841045"/>
    <w:rsid w:val="008668F1"/>
    <w:rsid w:val="009A57AF"/>
    <w:rsid w:val="009D1F46"/>
    <w:rsid w:val="00A15C06"/>
    <w:rsid w:val="00A56F17"/>
    <w:rsid w:val="00A66450"/>
    <w:rsid w:val="00B11DBE"/>
    <w:rsid w:val="00B44B12"/>
    <w:rsid w:val="00B72A71"/>
    <w:rsid w:val="00C04A66"/>
    <w:rsid w:val="00C34867"/>
    <w:rsid w:val="00C41A72"/>
    <w:rsid w:val="00C46607"/>
    <w:rsid w:val="00C61190"/>
    <w:rsid w:val="00CA62E3"/>
    <w:rsid w:val="00CE0CAF"/>
    <w:rsid w:val="00D36BC8"/>
    <w:rsid w:val="00D43294"/>
    <w:rsid w:val="00D7622F"/>
    <w:rsid w:val="00DC49FB"/>
    <w:rsid w:val="00DD213B"/>
    <w:rsid w:val="00DF3365"/>
    <w:rsid w:val="00E107D3"/>
    <w:rsid w:val="00E2554F"/>
    <w:rsid w:val="00EF636B"/>
    <w:rsid w:val="00F332FB"/>
    <w:rsid w:val="00F64E11"/>
    <w:rsid w:val="00FD1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BEE4D2-B826-471A-9285-C666A7DF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894"/>
    <w:pPr>
      <w:ind w:left="720"/>
      <w:contextualSpacing/>
    </w:pPr>
  </w:style>
  <w:style w:type="table" w:styleId="TableGrid">
    <w:name w:val="Table Grid"/>
    <w:basedOn w:val="TableNormal"/>
    <w:uiPriority w:val="59"/>
    <w:rsid w:val="00A66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0739"/>
    <w:rPr>
      <w:color w:val="0000FF" w:themeColor="hyperlink"/>
      <w:u w:val="single"/>
    </w:rPr>
  </w:style>
  <w:style w:type="table" w:customStyle="1" w:styleId="TableGrid1">
    <w:name w:val="Table Grid1"/>
    <w:basedOn w:val="TableNormal"/>
    <w:next w:val="TableGrid"/>
    <w:uiPriority w:val="59"/>
    <w:rsid w:val="00CA62E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D1F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08051">
      <w:bodyDiv w:val="1"/>
      <w:marLeft w:val="0"/>
      <w:marRight w:val="0"/>
      <w:marTop w:val="0"/>
      <w:marBottom w:val="0"/>
      <w:divBdr>
        <w:top w:val="none" w:sz="0" w:space="0" w:color="auto"/>
        <w:left w:val="none" w:sz="0" w:space="0" w:color="auto"/>
        <w:bottom w:val="none" w:sz="0" w:space="0" w:color="auto"/>
        <w:right w:val="none" w:sz="0" w:space="0" w:color="auto"/>
      </w:divBdr>
    </w:div>
    <w:div w:id="303051314">
      <w:bodyDiv w:val="1"/>
      <w:marLeft w:val="0"/>
      <w:marRight w:val="0"/>
      <w:marTop w:val="0"/>
      <w:marBottom w:val="0"/>
      <w:divBdr>
        <w:top w:val="none" w:sz="0" w:space="0" w:color="auto"/>
        <w:left w:val="none" w:sz="0" w:space="0" w:color="auto"/>
        <w:bottom w:val="none" w:sz="0" w:space="0" w:color="auto"/>
        <w:right w:val="none" w:sz="0" w:space="0" w:color="auto"/>
      </w:divBdr>
    </w:div>
    <w:div w:id="500701285">
      <w:bodyDiv w:val="1"/>
      <w:marLeft w:val="0"/>
      <w:marRight w:val="0"/>
      <w:marTop w:val="0"/>
      <w:marBottom w:val="0"/>
      <w:divBdr>
        <w:top w:val="none" w:sz="0" w:space="0" w:color="auto"/>
        <w:left w:val="none" w:sz="0" w:space="0" w:color="auto"/>
        <w:bottom w:val="none" w:sz="0" w:space="0" w:color="auto"/>
        <w:right w:val="none" w:sz="0" w:space="0" w:color="auto"/>
      </w:divBdr>
    </w:div>
    <w:div w:id="578754808">
      <w:bodyDiv w:val="1"/>
      <w:marLeft w:val="0"/>
      <w:marRight w:val="0"/>
      <w:marTop w:val="0"/>
      <w:marBottom w:val="0"/>
      <w:divBdr>
        <w:top w:val="none" w:sz="0" w:space="0" w:color="auto"/>
        <w:left w:val="none" w:sz="0" w:space="0" w:color="auto"/>
        <w:bottom w:val="none" w:sz="0" w:space="0" w:color="auto"/>
        <w:right w:val="none" w:sz="0" w:space="0" w:color="auto"/>
      </w:divBdr>
    </w:div>
    <w:div w:id="607549312">
      <w:bodyDiv w:val="1"/>
      <w:marLeft w:val="0"/>
      <w:marRight w:val="0"/>
      <w:marTop w:val="0"/>
      <w:marBottom w:val="0"/>
      <w:divBdr>
        <w:top w:val="none" w:sz="0" w:space="0" w:color="auto"/>
        <w:left w:val="none" w:sz="0" w:space="0" w:color="auto"/>
        <w:bottom w:val="none" w:sz="0" w:space="0" w:color="auto"/>
        <w:right w:val="none" w:sz="0" w:space="0" w:color="auto"/>
      </w:divBdr>
    </w:div>
    <w:div w:id="1517965083">
      <w:bodyDiv w:val="1"/>
      <w:marLeft w:val="0"/>
      <w:marRight w:val="0"/>
      <w:marTop w:val="0"/>
      <w:marBottom w:val="0"/>
      <w:divBdr>
        <w:top w:val="none" w:sz="0" w:space="0" w:color="auto"/>
        <w:left w:val="none" w:sz="0" w:space="0" w:color="auto"/>
        <w:bottom w:val="none" w:sz="0" w:space="0" w:color="auto"/>
        <w:right w:val="none" w:sz="0" w:space="0" w:color="auto"/>
      </w:divBdr>
    </w:div>
    <w:div w:id="1586382911">
      <w:bodyDiv w:val="1"/>
      <w:marLeft w:val="0"/>
      <w:marRight w:val="0"/>
      <w:marTop w:val="0"/>
      <w:marBottom w:val="0"/>
      <w:divBdr>
        <w:top w:val="none" w:sz="0" w:space="0" w:color="auto"/>
        <w:left w:val="none" w:sz="0" w:space="0" w:color="auto"/>
        <w:bottom w:val="none" w:sz="0" w:space="0" w:color="auto"/>
        <w:right w:val="none" w:sz="0" w:space="0" w:color="auto"/>
      </w:divBdr>
    </w:div>
    <w:div w:id="1823692916">
      <w:bodyDiv w:val="1"/>
      <w:marLeft w:val="0"/>
      <w:marRight w:val="0"/>
      <w:marTop w:val="0"/>
      <w:marBottom w:val="0"/>
      <w:divBdr>
        <w:top w:val="none" w:sz="0" w:space="0" w:color="auto"/>
        <w:left w:val="none" w:sz="0" w:space="0" w:color="auto"/>
        <w:bottom w:val="none" w:sz="0" w:space="0" w:color="auto"/>
        <w:right w:val="none" w:sz="0" w:space="0" w:color="auto"/>
      </w:divBdr>
    </w:div>
    <w:div w:id="1980186429">
      <w:bodyDiv w:val="1"/>
      <w:marLeft w:val="0"/>
      <w:marRight w:val="0"/>
      <w:marTop w:val="0"/>
      <w:marBottom w:val="0"/>
      <w:divBdr>
        <w:top w:val="none" w:sz="0" w:space="0" w:color="auto"/>
        <w:left w:val="none" w:sz="0" w:space="0" w:color="auto"/>
        <w:bottom w:val="none" w:sz="0" w:space="0" w:color="auto"/>
        <w:right w:val="none" w:sz="0" w:space="0" w:color="auto"/>
      </w:divBdr>
    </w:div>
    <w:div w:id="2044404471">
      <w:bodyDiv w:val="1"/>
      <w:marLeft w:val="0"/>
      <w:marRight w:val="0"/>
      <w:marTop w:val="0"/>
      <w:marBottom w:val="0"/>
      <w:divBdr>
        <w:top w:val="none" w:sz="0" w:space="0" w:color="auto"/>
        <w:left w:val="none" w:sz="0" w:space="0" w:color="auto"/>
        <w:bottom w:val="none" w:sz="0" w:space="0" w:color="auto"/>
        <w:right w:val="none" w:sz="0" w:space="0" w:color="auto"/>
      </w:divBdr>
    </w:div>
    <w:div w:id="206255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air/emissions/where.htm" TargetMode="External"/><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image" Target="media/image2.emf"/><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3.epa.gov/ttn/chief/net/2011inventory.html" TargetMode="External"/><Relationship Id="rId14" Type="http://schemas.openxmlformats.org/officeDocument/2006/relationships/image" Target="media/image7.emf"/><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archResultType xmlns="bf25d8e6-df7f-48f8-9e41-9305719f6447" xsi:nil="true"/>
    <SectionHighlight xmlns="bf25d8e6-df7f-48f8-9e41-9305719f6447">false</SectionHighlight>
    <Year xmlns="f048214f-82cb-4bc4-b562-3b324e00613f" xsi:nil="true"/>
    <Description0 xmlns="f048214f-82cb-4bc4-b562-3b324e00613f" xsi:nil="true"/>
    <PublishingExpirationDate xmlns="http://schemas.microsoft.com/sharepoint/v3" xsi:nil="true"/>
    <PublishingStartDate xmlns="http://schemas.microsoft.com/sharepoint/v3" xsi:nil="true"/>
    <Agency xmlns="f048214f-82cb-4bc4-b562-3b324e00613f" xsi:nil="true"/>
    <Category xmlns="f048214f-82cb-4bc4-b562-3b324e00613f"/>
    <_dlc_DocId xmlns="bf25d8e6-df7f-48f8-9e41-9305719f6447">4ZWTHDCC2MD4-2565-154</_dlc_DocId>
    <_dlc_DocIdUrl xmlns="bf25d8e6-df7f-48f8-9e41-9305719f6447">
      <Url>https://www.apta.com/resources/hottopics/sustainability/_layouts/DocIdRedir.aspx?ID=4ZWTHDCC2MD4-2565-154</Url>
      <Description>4ZWTHDCC2MD4-2565-154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9FDE72BB028DC04D9AE3C70360EF9B6C" ma:contentTypeVersion="8" ma:contentTypeDescription="Create a new document." ma:contentTypeScope="" ma:versionID="4e3dc5c28df5af753124233499155190">
  <xsd:schema xmlns:xsd="http://www.w3.org/2001/XMLSchema" xmlns:xs="http://www.w3.org/2001/XMLSchema" xmlns:p="http://schemas.microsoft.com/office/2006/metadata/properties" xmlns:ns1="http://schemas.microsoft.com/sharepoint/v3" xmlns:ns2="bf25d8e6-df7f-48f8-9e41-9305719f6447" xmlns:ns3="f048214f-82cb-4bc4-b562-3b324e00613f" targetNamespace="http://schemas.microsoft.com/office/2006/metadata/properties" ma:root="true" ma:fieldsID="ecfbb14e4c72e1956e25c653a70e4001" ns1:_="" ns2:_="" ns3:_="">
    <xsd:import namespace="http://schemas.microsoft.com/sharepoint/v3"/>
    <xsd:import namespace="bf25d8e6-df7f-48f8-9e41-9305719f6447"/>
    <xsd:import namespace="f048214f-82cb-4bc4-b562-3b324e00613f"/>
    <xsd:element name="properties">
      <xsd:complexType>
        <xsd:sequence>
          <xsd:element name="documentManagement">
            <xsd:complexType>
              <xsd:all>
                <xsd:element ref="ns1:PublishingStartDate" minOccurs="0"/>
                <xsd:element ref="ns1:PublishingExpirationDate" minOccurs="0"/>
                <xsd:element ref="ns2:SectionHighlight" minOccurs="0"/>
                <xsd:element ref="ns2:SearchResultType" minOccurs="0"/>
                <xsd:element ref="ns3:Category" minOccurs="0"/>
                <xsd:element ref="ns3:Agency" minOccurs="0"/>
                <xsd:element ref="ns3:Year" minOccurs="0"/>
                <xsd:element ref="ns3:Description0"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25d8e6-df7f-48f8-9e41-9305719f6447" elementFormDefault="qualified">
    <xsd:import namespace="http://schemas.microsoft.com/office/2006/documentManagement/types"/>
    <xsd:import namespace="http://schemas.microsoft.com/office/infopath/2007/PartnerControls"/>
    <xsd:element name="SectionHighlight" ma:index="10" nillable="true" ma:displayName="SectionHighlight" ma:default="0" ma:internalName="SectionHighlight">
      <xsd:simpleType>
        <xsd:restriction base="dms:Boolean"/>
      </xsd:simpleType>
    </xsd:element>
    <xsd:element name="SearchResultType" ma:index="11" nillable="true" ma:displayName="SearchResultType" ma:format="Dropdown" ma:internalName="SearchResultType">
      <xsd:simpleType>
        <xsd:restriction base="dms:Choice">
          <xsd:enumeration value="News Releases"/>
          <xsd:enumeration value="Statistics &amp; Publications"/>
          <xsd:enumeration value="Meetings &amp; Conferences"/>
          <xsd:enumeration value="APTA Programs"/>
          <xsd:enumeration value="Passenger Transport"/>
          <xsd:enumeration value="Letters"/>
          <xsd:enumeration value="Testimony"/>
          <xsd:enumeration value="Standards"/>
          <xsd:enumeration value="Awards"/>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048214f-82cb-4bc4-b562-3b324e00613f" elementFormDefault="qualified">
    <xsd:import namespace="http://schemas.microsoft.com/office/2006/documentManagement/types"/>
    <xsd:import namespace="http://schemas.microsoft.com/office/infopath/2007/PartnerControls"/>
    <xsd:element name="Category" ma:index="12" nillable="true" ma:displayName="Category" ma:internalName="Category">
      <xsd:complexType>
        <xsd:complexContent>
          <xsd:extension base="dms:MultiChoice">
            <xsd:sequence>
              <xsd:element name="Value" maxOccurs="unbounded" minOccurs="0" nillable="true">
                <xsd:simpleType>
                  <xsd:restriction base="dms:Choice">
                    <xsd:enumeration value="Resource Library"/>
                    <xsd:enumeration value="Commitment Reporting"/>
                  </xsd:restriction>
                </xsd:simpleType>
              </xsd:element>
            </xsd:sequence>
          </xsd:extension>
        </xsd:complexContent>
      </xsd:complexType>
    </xsd:element>
    <xsd:element name="Agency" ma:index="13" nillable="true" ma:displayName="Member" ma:internalName="Agency">
      <xsd:simpleType>
        <xsd:restriction base="dms:Text">
          <xsd:maxLength value="255"/>
        </xsd:restriction>
      </xsd:simpleType>
    </xsd:element>
    <xsd:element name="Year" ma:index="14" nillable="true" ma:displayName="Year" ma:internalName="Year">
      <xsd:simpleType>
        <xsd:restriction base="dms:Text">
          <xsd:maxLength value="255"/>
        </xsd:restriction>
      </xsd:simpleType>
    </xsd:element>
    <xsd:element name="Description0" ma:index="15"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052D0-44CE-41D0-847A-DF9D2EE49A3B}"/>
</file>

<file path=customXml/itemProps2.xml><?xml version="1.0" encoding="utf-8"?>
<ds:datastoreItem xmlns:ds="http://schemas.openxmlformats.org/officeDocument/2006/customXml" ds:itemID="{0B3E7F30-912D-4A62-92E0-BB91CEC2B89F}"/>
</file>

<file path=customXml/itemProps3.xml><?xml version="1.0" encoding="utf-8"?>
<ds:datastoreItem xmlns:ds="http://schemas.openxmlformats.org/officeDocument/2006/customXml" ds:itemID="{E3BF835D-A5CD-4F93-8B28-342115824540}"/>
</file>

<file path=customXml/itemProps4.xml><?xml version="1.0" encoding="utf-8"?>
<ds:datastoreItem xmlns:ds="http://schemas.openxmlformats.org/officeDocument/2006/customXml" ds:itemID="{7250A685-AF76-4D87-9154-3275F3830213}"/>
</file>

<file path=customXml/itemProps5.xml><?xml version="1.0" encoding="utf-8"?>
<ds:datastoreItem xmlns:ds="http://schemas.openxmlformats.org/officeDocument/2006/customXml" ds:itemID="{65774A85-DEEB-425B-9DA9-6EE020ECC052}"/>
</file>

<file path=docProps/app.xml><?xml version="1.0" encoding="utf-8"?>
<Properties xmlns="http://schemas.openxmlformats.org/officeDocument/2006/extended-properties" xmlns:vt="http://schemas.openxmlformats.org/officeDocument/2006/docPropsVTypes">
  <Template>226AF2C7</Template>
  <TotalTime>0</TotalTime>
  <Pages>7</Pages>
  <Words>2355</Words>
  <Characters>13427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UTA</Company>
  <LinksUpToDate>false</LinksUpToDate>
  <CharactersWithSpaces>15751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APTA Transit Emissions Quantifier Tool User's Guide</dc:title>
  <dc:creator>dlocke</dc:creator>
  <cp:lastModifiedBy>Mark Teschauer</cp:lastModifiedBy>
  <cp:revision>2</cp:revision>
  <dcterms:created xsi:type="dcterms:W3CDTF">2015-10-21T19:00:00Z</dcterms:created>
  <dcterms:modified xsi:type="dcterms:W3CDTF">2015-10-21T19:00:00Z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0x0101009FDE72BB028DC04D9AE3C70360EF9B6C</vt:lpwstr>
  </property>
  <property fmtid="{D5CDD505-2E9C-101B-9397-08002B2CF9AE}" pid="3" name="_dlc_DocIdItemGuid">
    <vt:lpwstr>f38ebbb7-84eb-44f0-948c-26908e1eb85a</vt:lpwstr>
  </property>
</Properties>
</file>